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56" w:rsidRDefault="00B726C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75D56" w:rsidRDefault="002258CD" w:rsidP="002258CD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603"/>
        </w:tabs>
        <w:spacing w:line="259" w:lineRule="auto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Catania</w:t>
      </w:r>
      <w:r w:rsidR="00B726C7">
        <w:t xml:space="preserve">, </w:t>
      </w:r>
      <w:r w:rsidR="007B5916">
        <w:t>_</w:t>
      </w:r>
      <w:r w:rsidR="003B44BB">
        <w:t>12</w:t>
      </w:r>
      <w:r w:rsidR="007B5916">
        <w:t>__</w:t>
      </w:r>
      <w:r w:rsidR="0074175C">
        <w:t>/_</w:t>
      </w:r>
      <w:r w:rsidR="003B44BB">
        <w:t>12</w:t>
      </w:r>
      <w:bookmarkStart w:id="0" w:name="_GoBack"/>
      <w:bookmarkEnd w:id="0"/>
      <w:r w:rsidR="0074175C">
        <w:t>_</w:t>
      </w:r>
      <w:r w:rsidR="00C7152F">
        <w:t>/2017</w:t>
      </w:r>
      <w:r w:rsidR="007B5916">
        <w:t>___</w:t>
      </w:r>
      <w:r w:rsidR="00B726C7">
        <w:t xml:space="preserve"> </w:t>
      </w:r>
    </w:p>
    <w:p w:rsidR="00B75D56" w:rsidRDefault="00B726C7">
      <w:pPr>
        <w:spacing w:after="0" w:line="259" w:lineRule="auto"/>
        <w:ind w:left="52" w:firstLine="0"/>
        <w:jc w:val="center"/>
      </w:pPr>
      <w:r>
        <w:rPr>
          <w:sz w:val="24"/>
        </w:rPr>
        <w:t xml:space="preserve"> </w:t>
      </w:r>
    </w:p>
    <w:p w:rsidR="00B75D56" w:rsidRDefault="00B726C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75D56" w:rsidRDefault="00B726C7" w:rsidP="00F05C7A">
      <w:r>
        <w:rPr>
          <w:b/>
        </w:rPr>
        <w:t xml:space="preserve">OGGETTO: Disciplinare gara per l’affidamento della </w:t>
      </w:r>
      <w:r w:rsidR="00A34581">
        <w:rPr>
          <w:b/>
        </w:rPr>
        <w:t xml:space="preserve">fornitura </w:t>
      </w:r>
      <w:proofErr w:type="gramStart"/>
      <w:r w:rsidR="00A34581">
        <w:rPr>
          <w:b/>
        </w:rPr>
        <w:t xml:space="preserve">di </w:t>
      </w:r>
      <w:r w:rsidR="00237E2C">
        <w:rPr>
          <w:b/>
        </w:rPr>
        <w:t xml:space="preserve"> </w:t>
      </w:r>
      <w:r w:rsidR="00A34581" w:rsidRPr="005E4D9D">
        <w:rPr>
          <w:b/>
        </w:rPr>
        <w:t>portachiavi</w:t>
      </w:r>
      <w:proofErr w:type="gramEnd"/>
      <w:r w:rsidR="00A34581" w:rsidRPr="005E4D9D">
        <w:rPr>
          <w:b/>
        </w:rPr>
        <w:t xml:space="preserve"> in plexiglass per le residenze studentesche</w:t>
      </w:r>
      <w:r w:rsidR="00A34581" w:rsidRPr="00237E2C">
        <w:rPr>
          <w:b/>
        </w:rPr>
        <w:t xml:space="preserve"> </w:t>
      </w:r>
      <w:r w:rsidR="00A34581">
        <w:rPr>
          <w:b/>
        </w:rPr>
        <w:t xml:space="preserve">della </w:t>
      </w:r>
      <w:r w:rsidR="00237E2C" w:rsidRPr="00237E2C">
        <w:rPr>
          <w:b/>
        </w:rPr>
        <w:t xml:space="preserve">Regione Siciliana. E.R.S.U. di Catania, via Etnea n°570, CAP 95128 </w:t>
      </w:r>
      <w:proofErr w:type="gramStart"/>
      <w:r w:rsidR="00237E2C" w:rsidRPr="00237E2C">
        <w:rPr>
          <w:b/>
        </w:rPr>
        <w:t>CT.-</w:t>
      </w:r>
      <w:proofErr w:type="gramEnd"/>
      <w:r w:rsidR="00237E2C" w:rsidRPr="00237E2C">
        <w:rPr>
          <w:b/>
        </w:rPr>
        <w:t xml:space="preserve"> C.F.: 80006770871 – P.IVA: 01264690874</w:t>
      </w:r>
      <w:r w:rsidR="00F05C7A">
        <w:rPr>
          <w:b/>
        </w:rPr>
        <w:t xml:space="preserve"> </w:t>
      </w:r>
      <w:r>
        <w:rPr>
          <w:b/>
        </w:rPr>
        <w:t xml:space="preserve"> –  </w:t>
      </w:r>
    </w:p>
    <w:p w:rsidR="0074175C" w:rsidRPr="0074175C" w:rsidRDefault="0074175C" w:rsidP="0074175C">
      <w:pPr>
        <w:spacing w:after="4" w:line="250" w:lineRule="auto"/>
        <w:ind w:left="-5"/>
        <w:rPr>
          <w:b/>
          <w:bCs/>
          <w:highlight w:val="yellow"/>
        </w:rPr>
      </w:pPr>
      <w:r w:rsidRPr="0074175C">
        <w:rPr>
          <w:b/>
          <w:bCs/>
          <w:highlight w:val="yellow"/>
        </w:rPr>
        <w:t>Codice identificativo gara (CIG): ZB920D7C18</w:t>
      </w:r>
    </w:p>
    <w:p w:rsidR="0074175C" w:rsidRPr="0074175C" w:rsidRDefault="0074175C" w:rsidP="0074175C">
      <w:pPr>
        <w:spacing w:after="4" w:line="250" w:lineRule="auto"/>
        <w:ind w:left="-5"/>
        <w:rPr>
          <w:b/>
          <w:bCs/>
          <w:highlight w:val="yellow"/>
        </w:rPr>
      </w:pPr>
      <w:r w:rsidRPr="0074175C">
        <w:rPr>
          <w:b/>
          <w:bCs/>
          <w:highlight w:val="yellow"/>
        </w:rPr>
        <w:t>Importo soggetto a ribasso €3.500,00</w:t>
      </w:r>
    </w:p>
    <w:p w:rsidR="0074175C" w:rsidRDefault="0074175C">
      <w:pPr>
        <w:spacing w:after="4" w:line="250" w:lineRule="auto"/>
        <w:ind w:left="-5"/>
      </w:pPr>
    </w:p>
    <w:p w:rsidR="00B75D56" w:rsidRDefault="00B726C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75D56" w:rsidRDefault="00B726C7">
      <w:pPr>
        <w:spacing w:after="0" w:line="259" w:lineRule="auto"/>
        <w:ind w:left="0" w:firstLine="0"/>
        <w:jc w:val="left"/>
      </w:pPr>
      <w:r>
        <w:t xml:space="preserve"> </w:t>
      </w:r>
    </w:p>
    <w:p w:rsidR="00B75D56" w:rsidRDefault="00B726C7">
      <w:pPr>
        <w:pStyle w:val="Titolo1"/>
        <w:ind w:right="10"/>
      </w:pPr>
      <w:r>
        <w:t xml:space="preserve">1) Oggetto della gara e durata della concessione </w:t>
      </w:r>
    </w:p>
    <w:p w:rsidR="00B75D56" w:rsidRDefault="00B726C7">
      <w:pPr>
        <w:ind w:left="-5" w:right="1"/>
      </w:pPr>
      <w:r>
        <w:t>La gara riguarda una concessione di servizi ed è regolata in via generale dal</w:t>
      </w:r>
      <w:r w:rsidR="00A34581">
        <w:t xml:space="preserve"> </w:t>
      </w:r>
      <w:r>
        <w:t xml:space="preserve">decreto legislativo 18 aprile 2016, n. 50, “Attuazione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forniture”. </w:t>
      </w:r>
    </w:p>
    <w:p w:rsidR="00B75D56" w:rsidRPr="00F05C7A" w:rsidRDefault="00B726C7">
      <w:pPr>
        <w:spacing w:after="119"/>
        <w:ind w:left="-5" w:right="1"/>
      </w:pPr>
      <w:r>
        <w:t>La gara deve selezionare</w:t>
      </w:r>
      <w:r w:rsidR="00AF14EA">
        <w:t xml:space="preserve"> il concessionario per la fornitura di n°700 portachiavi in plexiglass per le residenze </w:t>
      </w:r>
      <w:proofErr w:type="gramStart"/>
      <w:r w:rsidR="00AF14EA">
        <w:t>studentesche</w:t>
      </w:r>
      <w:r w:rsidR="00F05C7A">
        <w:t xml:space="preserve"> </w:t>
      </w:r>
      <w:r>
        <w:t xml:space="preserve"> del</w:t>
      </w:r>
      <w:r w:rsidR="00F05C7A">
        <w:t>la</w:t>
      </w:r>
      <w:proofErr w:type="gramEnd"/>
      <w:r w:rsidR="00F05C7A">
        <w:t xml:space="preserve"> </w:t>
      </w:r>
      <w:r w:rsidR="00F05C7A" w:rsidRPr="00F05C7A">
        <w:t xml:space="preserve">Regione Siciliana. E.R.S.U. di Catania, via Etnea n°570, CAP </w:t>
      </w:r>
      <w:r w:rsidR="00F05C7A">
        <w:t>95128 Catania</w:t>
      </w:r>
      <w:r w:rsidRPr="00F05C7A">
        <w:t xml:space="preserve">. </w:t>
      </w:r>
    </w:p>
    <w:p w:rsidR="007B5916" w:rsidRDefault="007B5916">
      <w:pPr>
        <w:ind w:left="720" w:right="1" w:hanging="360"/>
      </w:pPr>
    </w:p>
    <w:p w:rsidR="007B5916" w:rsidRPr="00AE2DCE" w:rsidRDefault="00A34581" w:rsidP="007B5916">
      <w:pPr>
        <w:ind w:left="720" w:right="1" w:hanging="360"/>
        <w:rPr>
          <w:b/>
          <w:i/>
          <w:u w:val="single"/>
        </w:rPr>
      </w:pPr>
      <w:r>
        <w:rPr>
          <w:b/>
          <w:i/>
          <w:u w:val="single"/>
        </w:rPr>
        <w:t xml:space="preserve">Quantità e denominazione dei </w:t>
      </w:r>
      <w:proofErr w:type="spellStart"/>
      <w:r>
        <w:rPr>
          <w:b/>
          <w:i/>
          <w:u w:val="single"/>
        </w:rPr>
        <w:t>portachivi</w:t>
      </w:r>
      <w:proofErr w:type="spellEnd"/>
      <w:r>
        <w:rPr>
          <w:b/>
          <w:i/>
          <w:u w:val="single"/>
        </w:rPr>
        <w:t xml:space="preserve"> in plexiglass</w:t>
      </w:r>
    </w:p>
    <w:p w:rsidR="00A34581" w:rsidRPr="00FF2D5D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 xml:space="preserve">N°248 per </w:t>
      </w:r>
      <w:r w:rsidRPr="00FF2D5D">
        <w:t xml:space="preserve">Residenza Universitaria </w:t>
      </w:r>
      <w:r>
        <w:t>Cittadella</w:t>
      </w:r>
    </w:p>
    <w:p w:rsidR="00A34581" w:rsidRPr="00FF2D5D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 xml:space="preserve">N° 54 per </w:t>
      </w:r>
      <w:r w:rsidRPr="00FF2D5D">
        <w:t>Res</w:t>
      </w:r>
      <w:r>
        <w:t xml:space="preserve">idenza Universitaria </w:t>
      </w:r>
      <w:proofErr w:type="spellStart"/>
      <w:r>
        <w:t>S.Marzano</w:t>
      </w:r>
      <w:proofErr w:type="spellEnd"/>
    </w:p>
    <w:p w:rsidR="00A34581" w:rsidRPr="00FF2D5D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 xml:space="preserve">N° 188 per </w:t>
      </w:r>
      <w:r w:rsidRPr="00FF2D5D">
        <w:t>R</w:t>
      </w:r>
      <w:r>
        <w:t>esidenza Universitaria Oberdan</w:t>
      </w:r>
    </w:p>
    <w:p w:rsidR="00A34581" w:rsidRPr="00FF2D5D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 xml:space="preserve">N° </w:t>
      </w:r>
      <w:proofErr w:type="gramStart"/>
      <w:r>
        <w:t>38  per</w:t>
      </w:r>
      <w:proofErr w:type="gramEnd"/>
      <w:r>
        <w:t xml:space="preserve"> Residenza Universitaria Verona</w:t>
      </w:r>
      <w:r w:rsidRPr="00FF2D5D">
        <w:t xml:space="preserve"> </w:t>
      </w:r>
    </w:p>
    <w:p w:rsidR="00A34581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 xml:space="preserve">N° 42 per Residenza Toscano </w:t>
      </w:r>
      <w:proofErr w:type="spellStart"/>
      <w:r>
        <w:t>Scuderi</w:t>
      </w:r>
      <w:proofErr w:type="spellEnd"/>
    </w:p>
    <w:p w:rsidR="00A34581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>N° 34 per Residenza Musco: Via Umberto CT</w:t>
      </w:r>
    </w:p>
    <w:p w:rsidR="00A34581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>N° 24 per la Residenza Ardizzone - Catania</w:t>
      </w:r>
    </w:p>
    <w:p w:rsidR="00A34581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>N° 25 per la Residenza La Giudecca – Siracusa</w:t>
      </w:r>
    </w:p>
    <w:p w:rsidR="00A34581" w:rsidRDefault="00A34581" w:rsidP="00A34581">
      <w:pPr>
        <w:numPr>
          <w:ilvl w:val="0"/>
          <w:numId w:val="11"/>
        </w:numPr>
        <w:spacing w:after="0" w:line="356" w:lineRule="auto"/>
        <w:ind w:firstLine="1548"/>
      </w:pPr>
      <w:r>
        <w:t xml:space="preserve">N° 18 per la Residenza Le </w:t>
      </w:r>
      <w:proofErr w:type="spellStart"/>
      <w:r>
        <w:t>Castillet</w:t>
      </w:r>
      <w:proofErr w:type="spellEnd"/>
      <w:r>
        <w:t xml:space="preserve"> – Ragusa</w:t>
      </w:r>
    </w:p>
    <w:p w:rsidR="00A34581" w:rsidRDefault="00A34581" w:rsidP="00A34581">
      <w:pPr>
        <w:spacing w:after="0" w:line="356" w:lineRule="auto"/>
        <w:ind w:left="2268" w:firstLine="0"/>
      </w:pPr>
      <w:r>
        <w:t xml:space="preserve">Per un totale di </w:t>
      </w:r>
      <w:r w:rsidRPr="0058294F">
        <w:rPr>
          <w:color w:val="FF0000"/>
        </w:rPr>
        <w:t xml:space="preserve">n°700 </w:t>
      </w:r>
      <w:r>
        <w:t xml:space="preserve">(arrotondato in </w:t>
      </w:r>
      <w:proofErr w:type="gramStart"/>
      <w:r>
        <w:t>eccesso )</w:t>
      </w:r>
      <w:proofErr w:type="gramEnd"/>
    </w:p>
    <w:p w:rsidR="007B5916" w:rsidRDefault="007B5916">
      <w:pPr>
        <w:ind w:left="720" w:right="1" w:hanging="360"/>
      </w:pPr>
    </w:p>
    <w:p w:rsidR="007B5916" w:rsidRDefault="007B5916">
      <w:pPr>
        <w:ind w:left="720" w:right="1" w:hanging="360"/>
      </w:pPr>
    </w:p>
    <w:p w:rsidR="00B75D56" w:rsidRDefault="00AF14EA">
      <w:pPr>
        <w:spacing w:after="105" w:line="259" w:lineRule="auto"/>
        <w:ind w:left="-5" w:right="1"/>
      </w:pPr>
      <w:r>
        <w:t>La richiesta della fornitura inizierà i</w:t>
      </w:r>
      <w:r w:rsidR="00B726C7">
        <w:t xml:space="preserve">l </w:t>
      </w:r>
      <w:r>
        <w:t>giorno della sottoscrizione della lettera di affidamento.</w:t>
      </w:r>
    </w:p>
    <w:p w:rsidR="00796F2D" w:rsidRDefault="00796F2D">
      <w:pPr>
        <w:spacing w:after="105" w:line="259" w:lineRule="auto"/>
        <w:ind w:left="-5" w:right="1"/>
      </w:pPr>
      <w:r>
        <w:t>La stessa dovrà essere restituita controfirmata.</w:t>
      </w:r>
    </w:p>
    <w:p w:rsidR="00B75D56" w:rsidRDefault="00B75D56">
      <w:pPr>
        <w:spacing w:after="102" w:line="259" w:lineRule="auto"/>
        <w:ind w:left="43" w:firstLine="0"/>
        <w:jc w:val="center"/>
      </w:pPr>
    </w:p>
    <w:p w:rsidR="00A34581" w:rsidRDefault="00B726C7" w:rsidP="00A34581">
      <w:pPr>
        <w:pStyle w:val="Titolo1"/>
        <w:ind w:right="10"/>
      </w:pPr>
      <w:r>
        <w:t xml:space="preserve">2) </w:t>
      </w:r>
      <w:r w:rsidR="00A34581">
        <w:t xml:space="preserve">Presentazione dell’offerta </w:t>
      </w:r>
    </w:p>
    <w:p w:rsidR="00A34581" w:rsidRDefault="00A34581" w:rsidP="00A34581">
      <w:pPr>
        <w:ind w:left="-5" w:right="1"/>
      </w:pPr>
      <w:r>
        <w:t>L’offerta, redatta utilizzando i modelli allegati alla presente,</w:t>
      </w:r>
      <w:r>
        <w:rPr>
          <w:b/>
        </w:rPr>
        <w:t xml:space="preserve"> </w:t>
      </w:r>
      <w:r>
        <w:t xml:space="preserve">dovrà essere fatta pervenire a mezzo posta con raccomandata A.R., o “posta celere”, o agenzia autorizzata, o con consegna a mano, con le modalità specificate al successivo paragrafo, indirizzata a: </w:t>
      </w:r>
    </w:p>
    <w:p w:rsidR="00A34581" w:rsidRPr="00A874AC" w:rsidRDefault="00A34581" w:rsidP="00A34581">
      <w:pPr>
        <w:ind w:left="-5" w:right="1"/>
        <w:rPr>
          <w:color w:val="FF0000"/>
        </w:rPr>
      </w:pPr>
      <w:r w:rsidRPr="00A874AC">
        <w:rPr>
          <w:b/>
          <w:color w:val="FF0000"/>
          <w:u w:val="single"/>
        </w:rPr>
        <w:lastRenderedPageBreak/>
        <w:t>Regione Siciliana - E.R.S.U. di Catania – via Etnea n°570</w:t>
      </w:r>
      <w:r w:rsidRPr="00A874AC">
        <w:rPr>
          <w:color w:val="FF0000"/>
        </w:rPr>
        <w:t xml:space="preserve">, o consegnata a mano presso l’Ufficio protocollo, sito nel succitato indirizzo. </w:t>
      </w:r>
    </w:p>
    <w:p w:rsidR="00796F2D" w:rsidRPr="00A874AC" w:rsidRDefault="00796F2D" w:rsidP="00796F2D">
      <w:pPr>
        <w:ind w:left="-5" w:right="1"/>
        <w:rPr>
          <w:b/>
          <w:color w:val="FF0000"/>
        </w:rPr>
      </w:pPr>
      <w:r w:rsidRPr="00A874AC">
        <w:rPr>
          <w:b/>
          <w:i/>
          <w:color w:val="FF0000"/>
        </w:rPr>
        <w:t>Sullo stesso lato della busta dovrà essere indicato</w:t>
      </w:r>
      <w:r w:rsidRPr="00A874AC">
        <w:rPr>
          <w:b/>
          <w:i/>
          <w:color w:val="FF0000"/>
          <w:u w:val="single"/>
        </w:rPr>
        <w:t xml:space="preserve"> chiaramente il Mittente, indirizzo, recapito telefonico e indirizzo di posta elettronica PEC.</w:t>
      </w:r>
    </w:p>
    <w:p w:rsidR="00796F2D" w:rsidRDefault="00796F2D" w:rsidP="00A34581">
      <w:pPr>
        <w:ind w:left="-5" w:right="1"/>
      </w:pPr>
    </w:p>
    <w:p w:rsidR="00A34581" w:rsidRDefault="00A34581" w:rsidP="00A34581">
      <w:pPr>
        <w:spacing w:after="4" w:line="360" w:lineRule="auto"/>
        <w:ind w:left="-5"/>
      </w:pPr>
      <w:r>
        <w:t xml:space="preserve">Il termine per la presentazione dell’offerta è fissato </w:t>
      </w:r>
      <w:r w:rsidRPr="001D1C73">
        <w:rPr>
          <w:b/>
          <w:highlight w:val="yellow"/>
        </w:rPr>
        <w:t xml:space="preserve">entro e non oltre il termine perentorio delle ore 12,00 del </w:t>
      </w:r>
      <w:r>
        <w:rPr>
          <w:b/>
          <w:highlight w:val="yellow"/>
        </w:rPr>
        <w:t xml:space="preserve">   </w:t>
      </w:r>
      <w:r w:rsidR="00796F2D">
        <w:rPr>
          <w:b/>
          <w:highlight w:val="yellow"/>
        </w:rPr>
        <w:t>19/01/2018</w:t>
      </w:r>
      <w:r w:rsidRPr="001D1C73">
        <w:rPr>
          <w:highlight w:val="yellow"/>
        </w:rPr>
        <w:t>.</w:t>
      </w:r>
      <w:r>
        <w:rPr>
          <w:b/>
        </w:rPr>
        <w:t xml:space="preserve"> </w:t>
      </w:r>
    </w:p>
    <w:p w:rsidR="00A34581" w:rsidRDefault="00A34581" w:rsidP="00A34581">
      <w:pPr>
        <w:ind w:left="-5" w:right="1"/>
      </w:pPr>
      <w:r>
        <w:t xml:space="preserve">Non saranno in alcun caso presi in considerazioni i plichi pervenuti oltre il suddetto termine perentorio di scadenza, anche indipendentemente dalla volontà del concorrente ed anche se spediti prima del termine medesimo. Ciò vale anche per i plichi inviati a mezzo raccomandata con avviso di ricevimento, a nulla valendo la data di spedizione risultante dal timbro postale dell’agenzia accettante.  </w:t>
      </w:r>
    </w:p>
    <w:p w:rsidR="00A34581" w:rsidRDefault="00A34581" w:rsidP="00A34581">
      <w:pPr>
        <w:spacing w:after="105" w:line="259" w:lineRule="auto"/>
        <w:ind w:left="-5" w:right="1"/>
      </w:pPr>
      <w:r>
        <w:t xml:space="preserve">Tali plichi non verranno aperti e verranno considerati come non consegnati.  </w:t>
      </w:r>
    </w:p>
    <w:p w:rsidR="00A34581" w:rsidRPr="00220840" w:rsidRDefault="00A34581" w:rsidP="00A34581">
      <w:pPr>
        <w:ind w:left="-5" w:right="1"/>
        <w:rPr>
          <w:color w:val="FF0000"/>
        </w:rPr>
      </w:pPr>
      <w:r w:rsidRPr="00220840">
        <w:rPr>
          <w:b/>
          <w:color w:val="FF0000"/>
        </w:rPr>
        <w:t>Non sono previste offerte via PEC</w:t>
      </w:r>
      <w:r w:rsidRPr="00220840">
        <w:rPr>
          <w:color w:val="FF0000"/>
        </w:rPr>
        <w:t xml:space="preserve"> in quanto il sistema attualmente in uso presso L’</w:t>
      </w:r>
      <w:proofErr w:type="spellStart"/>
      <w:r w:rsidRPr="00220840">
        <w:rPr>
          <w:color w:val="FF0000"/>
        </w:rPr>
        <w:t>Ersu</w:t>
      </w:r>
      <w:proofErr w:type="spellEnd"/>
      <w:r w:rsidRPr="00220840">
        <w:rPr>
          <w:color w:val="FF0000"/>
        </w:rPr>
        <w:t xml:space="preserve"> di Catania non consente la ricezione di file criptati e temporizzati.</w:t>
      </w:r>
    </w:p>
    <w:p w:rsidR="00A34581" w:rsidRDefault="00A34581" w:rsidP="00A34581">
      <w:pPr>
        <w:ind w:left="-5" w:right="1"/>
      </w:pPr>
      <w:r>
        <w:t xml:space="preserve">Le offerte redatte in modo non conforme alle prescrizioni o non corrispondenti alle modalità di presentazione delle richieste saranno considerate nulle. </w:t>
      </w:r>
    </w:p>
    <w:p w:rsidR="00A34581" w:rsidRPr="008F1219" w:rsidRDefault="00A34581" w:rsidP="00A34581">
      <w:pPr>
        <w:ind w:left="-5" w:right="1"/>
        <w:rPr>
          <w:b/>
        </w:rPr>
      </w:pPr>
      <w:r w:rsidRPr="008F1219">
        <w:rPr>
          <w:b/>
          <w:highlight w:val="yellow"/>
        </w:rPr>
        <w:t xml:space="preserve">N.B. </w:t>
      </w:r>
      <w:r w:rsidR="00796F2D">
        <w:rPr>
          <w:b/>
          <w:highlight w:val="yellow"/>
        </w:rPr>
        <w:t xml:space="preserve">E’ consigliabile </w:t>
      </w:r>
      <w:r w:rsidRPr="008F1219">
        <w:rPr>
          <w:b/>
          <w:highlight w:val="yellow"/>
        </w:rPr>
        <w:t xml:space="preserve">usare </w:t>
      </w:r>
      <w:r w:rsidR="00796F2D">
        <w:rPr>
          <w:b/>
          <w:highlight w:val="yellow"/>
        </w:rPr>
        <w:t xml:space="preserve">solo </w:t>
      </w:r>
      <w:r w:rsidRPr="008F1219">
        <w:rPr>
          <w:b/>
          <w:highlight w:val="yellow"/>
        </w:rPr>
        <w:t xml:space="preserve">la </w:t>
      </w:r>
      <w:r w:rsidRPr="00796F2D">
        <w:rPr>
          <w:b/>
          <w:highlight w:val="yellow"/>
        </w:rPr>
        <w:t xml:space="preserve">modulistica </w:t>
      </w:r>
      <w:r w:rsidR="00796F2D" w:rsidRPr="00796F2D">
        <w:rPr>
          <w:b/>
          <w:highlight w:val="yellow"/>
        </w:rPr>
        <w:t>rilasciata dall’Amministrazione al fine di facilitare le operazioni alla Commissione di gara.</w:t>
      </w:r>
    </w:p>
    <w:p w:rsidR="00B75D56" w:rsidRDefault="00B75D56" w:rsidP="00A34581">
      <w:pPr>
        <w:pStyle w:val="Titolo1"/>
        <w:ind w:right="8"/>
      </w:pPr>
    </w:p>
    <w:p w:rsidR="00B75D56" w:rsidRDefault="00B726C7">
      <w:pPr>
        <w:spacing w:after="105" w:line="259" w:lineRule="auto"/>
        <w:ind w:left="0" w:firstLine="0"/>
        <w:jc w:val="left"/>
      </w:pPr>
      <w:r>
        <w:t xml:space="preserve"> </w:t>
      </w:r>
    </w:p>
    <w:p w:rsidR="00A34581" w:rsidRDefault="00B726C7" w:rsidP="00A34581">
      <w:pPr>
        <w:pStyle w:val="Titolo1"/>
        <w:ind w:right="8"/>
      </w:pPr>
      <w:proofErr w:type="gramStart"/>
      <w:r>
        <w:t xml:space="preserve">3) </w:t>
      </w:r>
      <w:r w:rsidR="00A34581">
        <w:t>)</w:t>
      </w:r>
      <w:proofErr w:type="gramEnd"/>
      <w:r w:rsidR="00A34581">
        <w:t xml:space="preserve"> Presentazione delle buste contenenti l’offerta </w:t>
      </w:r>
    </w:p>
    <w:p w:rsidR="00A34581" w:rsidRDefault="00A34581" w:rsidP="00A34581">
      <w:pPr>
        <w:ind w:left="-5" w:right="1"/>
      </w:pPr>
      <w:r>
        <w:t>Il</w:t>
      </w:r>
      <w:r>
        <w:rPr>
          <w:b/>
        </w:rPr>
        <w:t xml:space="preserve"> Plico esterno </w:t>
      </w:r>
      <w:r>
        <w:t xml:space="preserve">dovrà riportare esclusivamente l’indirizzo: </w:t>
      </w:r>
      <w:r w:rsidRPr="00F2022D">
        <w:rPr>
          <w:b/>
        </w:rPr>
        <w:t>Regione Siciliana - E.R.S.U. di Catania – via Etnea n°570</w:t>
      </w:r>
      <w:r>
        <w:t xml:space="preserve"> e la dicitura </w:t>
      </w:r>
      <w:r w:rsidR="00DF73FA">
        <w:rPr>
          <w:b/>
        </w:rPr>
        <w:t>“GARA PER ACQUISTO DI PORTACHIAVI</w:t>
      </w:r>
      <w:r w:rsidRPr="00BF1452">
        <w:rPr>
          <w:b/>
        </w:rPr>
        <w:t>”</w:t>
      </w:r>
      <w:r w:rsidR="00AF14EA">
        <w:rPr>
          <w:b/>
        </w:rPr>
        <w:t xml:space="preserve"> e il nominativo del mittente, indirizzo</w:t>
      </w:r>
      <w:r w:rsidR="00796F2D">
        <w:rPr>
          <w:b/>
        </w:rPr>
        <w:t>, recapito telefonico</w:t>
      </w:r>
      <w:r w:rsidR="00AF14EA">
        <w:rPr>
          <w:b/>
        </w:rPr>
        <w:t xml:space="preserve"> e </w:t>
      </w:r>
      <w:proofErr w:type="spellStart"/>
      <w:r w:rsidR="00AF14EA">
        <w:rPr>
          <w:b/>
        </w:rPr>
        <w:t>pec</w:t>
      </w:r>
      <w:proofErr w:type="spellEnd"/>
      <w:r w:rsidRPr="00BF1452">
        <w:rPr>
          <w:b/>
        </w:rPr>
        <w:t>.</w:t>
      </w:r>
      <w:r>
        <w:t xml:space="preserve"> </w:t>
      </w:r>
    </w:p>
    <w:p w:rsidR="00A34581" w:rsidRDefault="00A34581" w:rsidP="00A34581">
      <w:pPr>
        <w:spacing w:after="105" w:line="259" w:lineRule="auto"/>
        <w:ind w:left="0" w:firstLine="0"/>
        <w:jc w:val="left"/>
      </w:pPr>
      <w:r>
        <w:t xml:space="preserve"> </w:t>
      </w:r>
    </w:p>
    <w:p w:rsidR="00A34581" w:rsidRDefault="00A34581" w:rsidP="00A34581">
      <w:pPr>
        <w:spacing w:after="102" w:line="259" w:lineRule="auto"/>
        <w:ind w:left="-5" w:right="1"/>
      </w:pPr>
      <w:r>
        <w:t xml:space="preserve">Il plico esterno dovrà contenere a sue volta le sotto indicate buste opportunamente sigillate: </w:t>
      </w:r>
    </w:p>
    <w:p w:rsidR="00A34581" w:rsidRDefault="00A34581" w:rsidP="00A34581">
      <w:pPr>
        <w:numPr>
          <w:ilvl w:val="0"/>
          <w:numId w:val="1"/>
        </w:numPr>
        <w:spacing w:after="112" w:line="250" w:lineRule="auto"/>
        <w:ind w:right="1" w:hanging="211"/>
      </w:pPr>
      <w:r>
        <w:t>Una busta con la dicitura</w:t>
      </w:r>
      <w:r>
        <w:rPr>
          <w:b/>
        </w:rPr>
        <w:t xml:space="preserve"> “Busta A – Documentazione </w:t>
      </w:r>
      <w:proofErr w:type="gramStart"/>
      <w:r>
        <w:rPr>
          <w:b/>
        </w:rPr>
        <w:t>Amministrativa ”</w:t>
      </w:r>
      <w:proofErr w:type="gramEnd"/>
      <w:r>
        <w:rPr>
          <w:b/>
        </w:rPr>
        <w:t xml:space="preserve"> </w:t>
      </w:r>
      <w:r>
        <w:t xml:space="preserve">. </w:t>
      </w:r>
    </w:p>
    <w:p w:rsidR="00A34581" w:rsidRDefault="00A34581" w:rsidP="00A34581">
      <w:pPr>
        <w:spacing w:after="4"/>
        <w:ind w:left="-5"/>
      </w:pPr>
      <w:r>
        <w:t xml:space="preserve">La </w:t>
      </w:r>
      <w:r>
        <w:rPr>
          <w:b/>
        </w:rPr>
        <w:t xml:space="preserve">“Busta A – Documentazione amministrativa” </w:t>
      </w:r>
      <w:r>
        <w:t>dovrà contenere</w:t>
      </w:r>
      <w:r w:rsidR="00AF14EA">
        <w:rPr>
          <w:b/>
        </w:rPr>
        <w:t xml:space="preserve"> l’</w:t>
      </w:r>
      <w:r>
        <w:rPr>
          <w:b/>
        </w:rPr>
        <w:t>allegat</w:t>
      </w:r>
      <w:r w:rsidR="00AF14EA">
        <w:rPr>
          <w:b/>
        </w:rPr>
        <w:t>o</w:t>
      </w:r>
      <w:r>
        <w:rPr>
          <w:b/>
        </w:rPr>
        <w:t xml:space="preserve"> 1 (domanda di partecipazione) </w:t>
      </w:r>
      <w:r>
        <w:t>e</w:t>
      </w:r>
      <w:r>
        <w:rPr>
          <w:b/>
        </w:rPr>
        <w:t xml:space="preserve"> </w:t>
      </w:r>
      <w:r w:rsidR="00AF14EA">
        <w:rPr>
          <w:b/>
        </w:rPr>
        <w:t xml:space="preserve">l’allegato </w:t>
      </w:r>
      <w:r>
        <w:rPr>
          <w:b/>
        </w:rPr>
        <w:t>2 (dichiarazioni)</w:t>
      </w:r>
      <w:r>
        <w:t xml:space="preserve"> compilati in tutte le parti necessarie</w:t>
      </w:r>
      <w:r w:rsidR="00AF14EA">
        <w:t xml:space="preserve"> (cassare le parti che non interessano)</w:t>
      </w:r>
      <w:r>
        <w:t xml:space="preserve">. </w:t>
      </w:r>
    </w:p>
    <w:p w:rsidR="00A34581" w:rsidRDefault="00A34581" w:rsidP="00A34581">
      <w:pPr>
        <w:spacing w:after="105" w:line="259" w:lineRule="auto"/>
        <w:ind w:left="0" w:firstLine="0"/>
        <w:jc w:val="left"/>
      </w:pPr>
      <w:r>
        <w:t xml:space="preserve"> </w:t>
      </w:r>
    </w:p>
    <w:p w:rsidR="00A34581" w:rsidRDefault="00A34581" w:rsidP="00A34581">
      <w:pPr>
        <w:numPr>
          <w:ilvl w:val="0"/>
          <w:numId w:val="1"/>
        </w:numPr>
        <w:ind w:right="1" w:hanging="211"/>
      </w:pPr>
      <w:r>
        <w:t xml:space="preserve">Una busta </w:t>
      </w:r>
      <w:proofErr w:type="gramStart"/>
      <w:r>
        <w:t xml:space="preserve">recante </w:t>
      </w:r>
      <w:r>
        <w:rPr>
          <w:b/>
        </w:rPr>
        <w:t xml:space="preserve"> </w:t>
      </w:r>
      <w:r>
        <w:t>la</w:t>
      </w:r>
      <w:proofErr w:type="gramEnd"/>
      <w:r>
        <w:t xml:space="preserve"> dicitura</w:t>
      </w:r>
      <w:r>
        <w:rPr>
          <w:b/>
        </w:rPr>
        <w:t xml:space="preserve"> “Busta B – Offerta economica ” </w:t>
      </w:r>
      <w:r>
        <w:t>La busta dovr</w:t>
      </w:r>
      <w:r w:rsidR="009F00FE">
        <w:t>à contenere l’offerta economica</w:t>
      </w:r>
      <w:r>
        <w:t>, redatta utilizzando l’</w:t>
      </w:r>
      <w:r>
        <w:rPr>
          <w:b/>
        </w:rPr>
        <w:t>allegato 3</w:t>
      </w:r>
      <w:r>
        <w:t xml:space="preserve"> alla documentazione di gara.</w:t>
      </w:r>
    </w:p>
    <w:p w:rsidR="00DF73FA" w:rsidRDefault="00DF73FA" w:rsidP="00DF73FA">
      <w:pPr>
        <w:numPr>
          <w:ilvl w:val="0"/>
          <w:numId w:val="1"/>
        </w:numPr>
        <w:ind w:hanging="211"/>
      </w:pPr>
      <w:r>
        <w:t xml:space="preserve">Una busta </w:t>
      </w:r>
      <w:proofErr w:type="gramStart"/>
      <w:r>
        <w:t xml:space="preserve">recante </w:t>
      </w:r>
      <w:r>
        <w:rPr>
          <w:b/>
        </w:rPr>
        <w:t xml:space="preserve"> </w:t>
      </w:r>
      <w:r>
        <w:t>la</w:t>
      </w:r>
      <w:proofErr w:type="gramEnd"/>
      <w:r>
        <w:t xml:space="preserve"> dicitura</w:t>
      </w:r>
      <w:r>
        <w:rPr>
          <w:b/>
        </w:rPr>
        <w:t xml:space="preserve"> “Busta C – Campionatura” </w:t>
      </w:r>
      <w:r>
        <w:t>N°1 portachiavi completamente assemblato</w:t>
      </w:r>
      <w:r w:rsidR="00AF14EA">
        <w:t xml:space="preserve"> (supporto in plexiglass e anello metallico)</w:t>
      </w:r>
      <w:r>
        <w:t xml:space="preserve">, COME PROVA CAMPIONE,  e con incisione SU 3 RIGHI:  </w:t>
      </w:r>
    </w:p>
    <w:p w:rsidR="00DF73FA" w:rsidRPr="00DF73FA" w:rsidRDefault="00DF73FA" w:rsidP="00DF73FA">
      <w:pPr>
        <w:numPr>
          <w:ilvl w:val="0"/>
          <w:numId w:val="16"/>
        </w:numPr>
      </w:pPr>
      <w:r w:rsidRPr="00DF73FA">
        <w:t xml:space="preserve">E.R.S.U. CATANIA </w:t>
      </w:r>
    </w:p>
    <w:p w:rsidR="00DF73FA" w:rsidRDefault="00DF73FA" w:rsidP="00DF73FA">
      <w:pPr>
        <w:numPr>
          <w:ilvl w:val="0"/>
          <w:numId w:val="16"/>
        </w:numPr>
        <w:ind w:right="1"/>
      </w:pPr>
      <w:r>
        <w:t>UFFICI AMMINISTRATIVI</w:t>
      </w:r>
    </w:p>
    <w:p w:rsidR="00DF73FA" w:rsidRPr="00DF73FA" w:rsidRDefault="00DF73FA" w:rsidP="00DF73FA">
      <w:pPr>
        <w:numPr>
          <w:ilvl w:val="0"/>
          <w:numId w:val="16"/>
        </w:numPr>
        <w:ind w:right="1"/>
      </w:pPr>
      <w:r>
        <w:t>CONSEGNATARIO</w:t>
      </w:r>
    </w:p>
    <w:p w:rsidR="00A34581" w:rsidRDefault="00DF73FA" w:rsidP="00A34581">
      <w:pPr>
        <w:spacing w:after="0" w:line="259" w:lineRule="auto"/>
        <w:ind w:left="0" w:firstLine="0"/>
        <w:jc w:val="left"/>
      </w:pPr>
      <w:r>
        <w:t>CON UN COLORE A SCELTA ROSSO O BLU.</w:t>
      </w:r>
    </w:p>
    <w:p w:rsidR="008F1219" w:rsidRPr="008F1219" w:rsidRDefault="008F1219" w:rsidP="00A34581">
      <w:pPr>
        <w:pStyle w:val="Titolo1"/>
        <w:ind w:right="10"/>
        <w:rPr>
          <w:b w:val="0"/>
        </w:rPr>
      </w:pPr>
    </w:p>
    <w:p w:rsidR="00B75D56" w:rsidRDefault="00B726C7">
      <w:pPr>
        <w:spacing w:after="102" w:line="259" w:lineRule="auto"/>
        <w:ind w:left="0" w:firstLine="0"/>
        <w:jc w:val="left"/>
      </w:pPr>
      <w:r>
        <w:t xml:space="preserve"> </w:t>
      </w:r>
    </w:p>
    <w:p w:rsidR="00A34581" w:rsidRDefault="00B726C7" w:rsidP="00A34581">
      <w:pPr>
        <w:pStyle w:val="Titolo1"/>
        <w:ind w:right="7"/>
      </w:pPr>
      <w:r>
        <w:lastRenderedPageBreak/>
        <w:t xml:space="preserve">4 </w:t>
      </w:r>
      <w:r w:rsidR="00A34581">
        <w:t xml:space="preserve">Comparazione delle offerte e criterio di aggiudicazione </w:t>
      </w:r>
    </w:p>
    <w:p w:rsidR="00A34581" w:rsidRDefault="00A34581" w:rsidP="00A34581">
      <w:pPr>
        <w:ind w:left="-5" w:right="1"/>
      </w:pPr>
      <w:r>
        <w:t>La presente gara verrà aggiudicata facendo riferimento al D.lgs. n. 50/2016, utilizzando il criterio dell’off</w:t>
      </w:r>
      <w:r w:rsidR="00AF14EA">
        <w:t>erta economica che avrà presentato il maggior ribasso.</w:t>
      </w:r>
    </w:p>
    <w:p w:rsidR="00A34581" w:rsidRPr="00DF74BC" w:rsidRDefault="00A34581" w:rsidP="00A34581">
      <w:pPr>
        <w:ind w:left="-5" w:right="1"/>
        <w:rPr>
          <w:b/>
        </w:rPr>
      </w:pPr>
      <w:r>
        <w:t xml:space="preserve">Nel caso di offerte che abbiano riportato uguale offerta, si procederà all’individuazione del vincitore mediante sorteggio. </w:t>
      </w:r>
    </w:p>
    <w:p w:rsidR="00B75D56" w:rsidRDefault="00B75D56" w:rsidP="00A34581">
      <w:pPr>
        <w:pStyle w:val="Titolo1"/>
        <w:ind w:right="8"/>
      </w:pPr>
    </w:p>
    <w:p w:rsidR="00B75D56" w:rsidRDefault="00B726C7" w:rsidP="00EC3090">
      <w:pPr>
        <w:spacing w:after="102" w:line="259" w:lineRule="auto"/>
        <w:ind w:left="0" w:firstLine="0"/>
        <w:jc w:val="left"/>
      </w:pPr>
      <w:r>
        <w:rPr>
          <w:b/>
        </w:rPr>
        <w:t xml:space="preserve"> </w:t>
      </w:r>
    </w:p>
    <w:p w:rsidR="00B75D56" w:rsidRDefault="00B726C7">
      <w:pPr>
        <w:spacing w:after="135" w:line="259" w:lineRule="auto"/>
        <w:ind w:left="-5" w:right="1"/>
      </w:pPr>
      <w:r>
        <w:t xml:space="preserve">Si precisa che: </w:t>
      </w:r>
    </w:p>
    <w:p w:rsidR="00B75D56" w:rsidRDefault="00A86BB7">
      <w:pPr>
        <w:numPr>
          <w:ilvl w:val="0"/>
          <w:numId w:val="3"/>
        </w:numPr>
        <w:spacing w:after="32"/>
        <w:ind w:right="1" w:hanging="360"/>
      </w:pPr>
      <w:r w:rsidRPr="00F2022D">
        <w:rPr>
          <w:b/>
        </w:rPr>
        <w:t>Regione Siciliana - E.R.S.U. di Catania – via Etnea n°570</w:t>
      </w:r>
      <w:r>
        <w:rPr>
          <w:b/>
        </w:rPr>
        <w:t xml:space="preserve"> </w:t>
      </w:r>
      <w:r w:rsidR="00B726C7">
        <w:t xml:space="preserve">si riserva </w:t>
      </w:r>
      <w:r w:rsidR="00B726C7">
        <w:rPr>
          <w:i/>
        </w:rPr>
        <w:t>(i)</w:t>
      </w:r>
      <w:r w:rsidR="00B726C7">
        <w:t xml:space="preserve"> il diritto di non procedere all’aggiudicazione nel caso in cui nessuna delle offerte presentate venga ritenuta idonea, </w:t>
      </w:r>
      <w:r w:rsidR="00B726C7">
        <w:rPr>
          <w:i/>
        </w:rPr>
        <w:t>(ii)</w:t>
      </w:r>
      <w:r w:rsidR="00B726C7">
        <w:t xml:space="preserve"> il diritto di procedere all’aggiudicazione anche in presenza di una sola offerta valida, ai sensi dell’art. 69 del regio decreto 23 maggio 1924, n. 827,  </w:t>
      </w:r>
      <w:r w:rsidR="00B726C7">
        <w:rPr>
          <w:i/>
        </w:rPr>
        <w:t xml:space="preserve">(iii) </w:t>
      </w:r>
      <w:r w:rsidR="00B726C7">
        <w:t xml:space="preserve">il diritto di sospendere, </w:t>
      </w:r>
      <w:proofErr w:type="spellStart"/>
      <w:r w:rsidR="00B726C7">
        <w:t>reindire</w:t>
      </w:r>
      <w:proofErr w:type="spellEnd"/>
      <w:r w:rsidR="00B726C7">
        <w:t xml:space="preserve"> o non aggiudicare la gara motivatamente, ovvero </w:t>
      </w:r>
      <w:r w:rsidR="00B726C7">
        <w:rPr>
          <w:i/>
        </w:rPr>
        <w:t>(iv)</w:t>
      </w:r>
      <w:r w:rsidR="00B726C7">
        <w:t xml:space="preserve"> di non stipulare il Contratto anche se sia in precedenza intervenuta l’individuazione del concessionario; </w:t>
      </w:r>
      <w:r w:rsidR="00152785">
        <w:t>Pertanto le ditte non avranno nulla a pretendere, economico o giuridico, in caso di annullamento della gara, per volere dell’Amministrazione.</w:t>
      </w:r>
    </w:p>
    <w:p w:rsidR="00EC3090" w:rsidRPr="00EC3090" w:rsidRDefault="00EC3090">
      <w:pPr>
        <w:numPr>
          <w:ilvl w:val="0"/>
          <w:numId w:val="3"/>
        </w:numPr>
        <w:spacing w:after="32"/>
        <w:ind w:right="1" w:hanging="360"/>
      </w:pPr>
      <w:r w:rsidRPr="00EC3090">
        <w:t>Le spese per la restituzione di eventuali plichi è a carico delle ditte partecipanti;</w:t>
      </w:r>
    </w:p>
    <w:p w:rsidR="00B75D56" w:rsidRDefault="00B726C7">
      <w:pPr>
        <w:numPr>
          <w:ilvl w:val="0"/>
          <w:numId w:val="3"/>
        </w:numPr>
        <w:spacing w:after="32"/>
        <w:ind w:right="1" w:hanging="360"/>
      </w:pPr>
      <w:proofErr w:type="gramStart"/>
      <w:r>
        <w:t>gli</w:t>
      </w:r>
      <w:proofErr w:type="gramEnd"/>
      <w:r>
        <w:t xml:space="preserve"> offerenti sono vincolati alle offerte presentate per un periodo di 180 giorni naturali e consecutivi dalla data di scadenza del termine di presentazione delle offerte; </w:t>
      </w:r>
    </w:p>
    <w:p w:rsidR="00B75D56" w:rsidRDefault="00B726C7">
      <w:pPr>
        <w:numPr>
          <w:ilvl w:val="0"/>
          <w:numId w:val="3"/>
        </w:numPr>
        <w:spacing w:after="32"/>
        <w:ind w:right="1" w:hanging="360"/>
      </w:pPr>
      <w:proofErr w:type="gramStart"/>
      <w:r>
        <w:t>saranno</w:t>
      </w:r>
      <w:proofErr w:type="gramEnd"/>
      <w:r>
        <w:t xml:space="preserve"> esclusi i concorrenti che abbiano omesso di presentare i documenti richiesti, che non si siano attenuti alle modalità ed alle formalità previste, ovvero che abbiano reso false dichiarazioni, fatto salvo il soccorso istruttorio nei casi previsti dall’art. 83 </w:t>
      </w:r>
      <w:proofErr w:type="spellStart"/>
      <w:r>
        <w:t>D.Lgs.</w:t>
      </w:r>
      <w:proofErr w:type="spellEnd"/>
      <w:r>
        <w:t xml:space="preserve"> n. 50/2016; </w:t>
      </w:r>
    </w:p>
    <w:p w:rsidR="00B75D56" w:rsidRDefault="00B726C7">
      <w:pPr>
        <w:numPr>
          <w:ilvl w:val="0"/>
          <w:numId w:val="3"/>
        </w:numPr>
        <w:spacing w:after="32"/>
        <w:ind w:right="1" w:hanging="360"/>
      </w:pPr>
      <w:proofErr w:type="gramStart"/>
      <w:r>
        <w:t>le</w:t>
      </w:r>
      <w:proofErr w:type="gramEnd"/>
      <w:r>
        <w:t xml:space="preserve"> offerte anormalmente basse verranno sottoposte a verifica, anche in base a quanto stabilito dall’articolo 97 del </w:t>
      </w:r>
      <w:proofErr w:type="spellStart"/>
      <w:r>
        <w:t>D.Lgs.</w:t>
      </w:r>
      <w:proofErr w:type="spellEnd"/>
      <w:r>
        <w:t xml:space="preserve"> n. 50/2016, richiedendo alle imprese concorrenti di fornire precisazioni e giustificazioni al ri</w:t>
      </w:r>
      <w:r w:rsidR="00DF74BC">
        <w:t>guardo, con facoltà dell’Ente</w:t>
      </w:r>
      <w:r>
        <w:t xml:space="preserve"> e/o della Commissione giudicatrice di assegnare un termine perentorio entro cui le imprese concorrenti devono far pervenire le dette precisazioni e/o giustificazioni, pena l’esclusione dalla gara; </w:t>
      </w:r>
    </w:p>
    <w:p w:rsidR="00B75D56" w:rsidRPr="00DF74BC" w:rsidRDefault="00B726C7">
      <w:pPr>
        <w:numPr>
          <w:ilvl w:val="0"/>
          <w:numId w:val="3"/>
        </w:numPr>
        <w:spacing w:after="133" w:line="259" w:lineRule="auto"/>
        <w:ind w:right="1" w:hanging="360"/>
        <w:rPr>
          <w:b/>
          <w:u w:val="single"/>
        </w:rPr>
      </w:pPr>
      <w:proofErr w:type="gramStart"/>
      <w:r>
        <w:t>non</w:t>
      </w:r>
      <w:proofErr w:type="gramEnd"/>
      <w:r>
        <w:t xml:space="preserve"> verranno prese in considerazione offerte di Ditte appartenenti a dipendenti dell</w:t>
      </w:r>
      <w:r w:rsidR="00DF74BC">
        <w:t>’ERSU</w:t>
      </w:r>
      <w:r w:rsidR="00EC3090">
        <w:t xml:space="preserve">, </w:t>
      </w:r>
      <w:r>
        <w:t xml:space="preserve"> </w:t>
      </w:r>
      <w:r w:rsidR="00EC3090">
        <w:t>a</w:t>
      </w:r>
      <w:r>
        <w:t xml:space="preserve"> loro parenti o affini</w:t>
      </w:r>
      <w:r w:rsidR="00DF74BC">
        <w:t xml:space="preserve"> </w:t>
      </w:r>
      <w:r w:rsidR="00DF74BC" w:rsidRPr="00EC3090">
        <w:rPr>
          <w:b/>
          <w:color w:val="FF0000"/>
          <w:u w:val="single"/>
        </w:rPr>
        <w:t>e la ditta partecipante dovrà dichiarare la totale mancanza di legami di parentela con dipendenti dell’ERSU di Catania</w:t>
      </w:r>
      <w:r w:rsidR="00796F2D">
        <w:rPr>
          <w:b/>
          <w:color w:val="FF0000"/>
          <w:u w:val="single"/>
        </w:rPr>
        <w:t xml:space="preserve"> (vedi fine allegato 2)</w:t>
      </w:r>
    </w:p>
    <w:p w:rsidR="00152785" w:rsidRDefault="00B726C7">
      <w:pPr>
        <w:spacing w:after="43"/>
        <w:ind w:left="-5" w:right="1"/>
        <w:rPr>
          <w:b/>
        </w:rPr>
      </w:pPr>
      <w:r w:rsidRPr="00057F9C">
        <w:rPr>
          <w:b/>
          <w:highlight w:val="yellow"/>
        </w:rPr>
        <w:t>La gara sarà dichiarata aperta</w:t>
      </w:r>
      <w:r>
        <w:t xml:space="preserve"> da un’apposita Commissione, nominata </w:t>
      </w:r>
      <w:r w:rsidR="00152785">
        <w:t xml:space="preserve">un minuto dopo la scadenza dei termini di presentazione offerta, </w:t>
      </w:r>
      <w:r>
        <w:t>dal Dir</w:t>
      </w:r>
      <w:r w:rsidR="00DB1902">
        <w:t>ettore</w:t>
      </w:r>
      <w:r>
        <w:t xml:space="preserve"> </w:t>
      </w:r>
      <w:r w:rsidR="00DB1902">
        <w:t>dell’ERSU</w:t>
      </w:r>
      <w:r>
        <w:t>, che si riunir</w:t>
      </w:r>
      <w:r w:rsidR="00DB1902">
        <w:t>à presso gli uffici della Direzione</w:t>
      </w:r>
      <w:r>
        <w:t xml:space="preserve">, </w:t>
      </w:r>
      <w:r w:rsidRPr="00152785">
        <w:rPr>
          <w:b/>
          <w:highlight w:val="yellow"/>
        </w:rPr>
        <w:t xml:space="preserve">in data </w:t>
      </w:r>
      <w:r w:rsidR="00152785">
        <w:rPr>
          <w:b/>
          <w:highlight w:val="yellow"/>
        </w:rPr>
        <w:t xml:space="preserve">che sarà </w:t>
      </w:r>
      <w:proofErr w:type="gramStart"/>
      <w:r w:rsidR="00152785">
        <w:rPr>
          <w:b/>
          <w:highlight w:val="yellow"/>
        </w:rPr>
        <w:t>comunicata  sul</w:t>
      </w:r>
      <w:proofErr w:type="gramEnd"/>
      <w:r w:rsidR="00152785">
        <w:rPr>
          <w:b/>
          <w:highlight w:val="yellow"/>
        </w:rPr>
        <w:t xml:space="preserve"> sito istituzionale dell’Ente</w:t>
      </w:r>
      <w:r w:rsidR="00152785" w:rsidRPr="00152785">
        <w:rPr>
          <w:b/>
          <w:highlight w:val="yellow"/>
        </w:rPr>
        <w:t>.</w:t>
      </w:r>
    </w:p>
    <w:p w:rsidR="00B75D56" w:rsidRDefault="00152785">
      <w:pPr>
        <w:spacing w:after="43"/>
        <w:ind w:left="-5" w:right="1"/>
      </w:pPr>
      <w:r>
        <w:t>La Commissione proc</w:t>
      </w:r>
      <w:r w:rsidR="00B726C7">
        <w:t>eder</w:t>
      </w:r>
      <w:r>
        <w:t>à</w:t>
      </w:r>
      <w:r w:rsidR="00B726C7">
        <w:t xml:space="preserve">: </w:t>
      </w:r>
    </w:p>
    <w:p w:rsidR="00B75D56" w:rsidRDefault="00B726C7">
      <w:pPr>
        <w:numPr>
          <w:ilvl w:val="0"/>
          <w:numId w:val="4"/>
        </w:numPr>
        <w:spacing w:after="42"/>
        <w:ind w:right="1" w:hanging="360"/>
      </w:pPr>
      <w:proofErr w:type="gramStart"/>
      <w:r>
        <w:t>alla</w:t>
      </w:r>
      <w:proofErr w:type="gramEnd"/>
      <w:r>
        <w:t xml:space="preserve"> verifica dell’integrità e della tempestività della ricezione dei plichi pervenuti, nonché all’apertura dei plichi medesimi, alla verifica della presenza delle buste interne </w:t>
      </w:r>
      <w:r w:rsidR="00EC3090">
        <w:rPr>
          <w:b/>
        </w:rPr>
        <w:t>“A”, “B”.</w:t>
      </w:r>
      <w:r>
        <w:t xml:space="preserve">  </w:t>
      </w:r>
    </w:p>
    <w:p w:rsidR="00B75D56" w:rsidRDefault="00B726C7">
      <w:pPr>
        <w:numPr>
          <w:ilvl w:val="0"/>
          <w:numId w:val="4"/>
        </w:numPr>
        <w:spacing w:after="79" w:line="259" w:lineRule="auto"/>
        <w:ind w:right="1" w:hanging="360"/>
      </w:pPr>
      <w:proofErr w:type="gramStart"/>
      <w:r>
        <w:t>all’apertura</w:t>
      </w:r>
      <w:proofErr w:type="gramEnd"/>
      <w:r>
        <w:t xml:space="preserve"> delle buste “</w:t>
      </w:r>
      <w:r>
        <w:rPr>
          <w:b/>
        </w:rPr>
        <w:t>A</w:t>
      </w:r>
      <w:r>
        <w:t xml:space="preserve">” di tutte le offerte e alla constatazione della presenza dei documenti ivi contenuti. </w:t>
      </w:r>
    </w:p>
    <w:p w:rsidR="00B75D56" w:rsidRDefault="00B726C7">
      <w:pPr>
        <w:spacing w:after="105" w:line="259" w:lineRule="auto"/>
        <w:ind w:left="0" w:firstLine="0"/>
        <w:jc w:val="left"/>
      </w:pPr>
      <w:r>
        <w:t xml:space="preserve"> </w:t>
      </w:r>
    </w:p>
    <w:p w:rsidR="00B75D56" w:rsidRDefault="00B726C7">
      <w:pPr>
        <w:ind w:left="-5" w:right="1"/>
      </w:pPr>
      <w:r>
        <w:t>A tale seduta della Commissione, nonché alle successive sedute aperte al pubblico (di cui si comunicherà ora, data e luogo) potrà essere ammesso a partecipare un rappresentan</w:t>
      </w:r>
      <w:r w:rsidR="00E047A3">
        <w:t>te per ciascun offerente, purché</w:t>
      </w:r>
      <w:r>
        <w:t xml:space="preserve"> dotato di idonea delega, il cui nominativo, in considerazione delle procedure riguardanti l’accesso di terzi presso la sede </w:t>
      </w:r>
      <w:r w:rsidR="009F00FE">
        <w:t>dell’ERSU</w:t>
      </w:r>
      <w:r>
        <w:t xml:space="preserve">, dovrà essere comunicato mediante posta elettronica certificata all’indirizzo </w:t>
      </w:r>
      <w:hyperlink r:id="rId7" w:history="1">
        <w:r w:rsidR="00E047A3" w:rsidRPr="00594308">
          <w:rPr>
            <w:rStyle w:val="Collegamentoipertestuale"/>
          </w:rPr>
          <w:t>protocollo@pec.ersucatania.it</w:t>
        </w:r>
      </w:hyperlink>
      <w:r w:rsidR="00E047A3">
        <w:t xml:space="preserve"> --- COD: UFUZ63 </w:t>
      </w:r>
      <w:r>
        <w:t>e/o fax da trasmettere al n° 0</w:t>
      </w:r>
      <w:r w:rsidR="00E047A3">
        <w:t>95/7517944</w:t>
      </w:r>
      <w:r w:rsidR="008156F6">
        <w:t xml:space="preserve"> (all’attenzione del RUP)</w:t>
      </w:r>
      <w:r>
        <w:t xml:space="preserve"> entro il giorno precedente la data della seduta, con allegata </w:t>
      </w:r>
      <w:r>
        <w:lastRenderedPageBreak/>
        <w:t xml:space="preserve">fotocopia di un documento di identificazione con fotografia, nonché l’indicazione dei relativi poteri o degli estremi della procura speciale. </w:t>
      </w:r>
      <w:r w:rsidR="005D71E5">
        <w:t>Accertarsi, previa telefonata</w:t>
      </w:r>
      <w:r w:rsidR="00C12167">
        <w:t xml:space="preserve"> al 095/7517943</w:t>
      </w:r>
      <w:r w:rsidR="005D71E5">
        <w:t>, dell’</w:t>
      </w:r>
      <w:r w:rsidR="00C12167">
        <w:t>avvenuta ricezione.</w:t>
      </w:r>
    </w:p>
    <w:p w:rsidR="00B75D56" w:rsidRDefault="00B726C7">
      <w:pPr>
        <w:ind w:left="-5" w:right="1"/>
      </w:pPr>
      <w:r>
        <w:t>L’accesso e la permanenza dei rappresentanti del concorrente nei locali ove si procederà alle operazioni di gara sono subordinati all’assoluto rispetto delle procedure di accesso e di sicurezza in vigore presso l</w:t>
      </w:r>
      <w:r w:rsidR="00E047A3">
        <w:t>’Ente</w:t>
      </w:r>
      <w:r>
        <w:t xml:space="preserve"> ed all’esibizione dell’originale del documento di identificazione. </w:t>
      </w:r>
    </w:p>
    <w:p w:rsidR="00B75D56" w:rsidRDefault="00B726C7">
      <w:pPr>
        <w:spacing w:after="102" w:line="259" w:lineRule="auto"/>
        <w:ind w:left="0" w:firstLine="0"/>
        <w:jc w:val="left"/>
      </w:pPr>
      <w:r>
        <w:t xml:space="preserve"> </w:t>
      </w:r>
    </w:p>
    <w:p w:rsidR="00B75D56" w:rsidRDefault="00B726C7">
      <w:pPr>
        <w:ind w:left="-5" w:right="1"/>
      </w:pPr>
      <w:r>
        <w:t>La Commissione, riunita in seduta pubblica, nell’esaminare il contenuto dei singoli documenti contenuti nelle buste “</w:t>
      </w:r>
      <w:r>
        <w:rPr>
          <w:b/>
        </w:rPr>
        <w:t>A</w:t>
      </w:r>
      <w:r>
        <w:t>” – Documentazione Amministrativa, in caso di irregolarità formali, non compromettenti la “</w:t>
      </w:r>
      <w:r>
        <w:rPr>
          <w:i/>
        </w:rPr>
        <w:t>par condicio</w:t>
      </w:r>
      <w:r>
        <w:t>” fra i concorrenti e nell’interess</w:t>
      </w:r>
      <w:r w:rsidR="008156F6">
        <w:t>e dell’Ente</w:t>
      </w:r>
      <w:r>
        <w:t xml:space="preserve">, potrà invitare il concorrente, a mezzo di opportuna comunicazione scritta anche solo a mezzo fax, a regolarizzare i documenti e/o per fornire i chiarimenti opportuni, ai sensi dell’art. 83, D. </w:t>
      </w:r>
      <w:proofErr w:type="spellStart"/>
      <w:r>
        <w:t>Lgs</w:t>
      </w:r>
      <w:proofErr w:type="spellEnd"/>
      <w:r>
        <w:t xml:space="preserve">. 50/2016. </w:t>
      </w:r>
    </w:p>
    <w:p w:rsidR="00B75D56" w:rsidRDefault="00B726C7">
      <w:pPr>
        <w:spacing w:after="102" w:line="259" w:lineRule="auto"/>
        <w:ind w:left="0" w:firstLine="0"/>
        <w:jc w:val="left"/>
      </w:pPr>
      <w:r>
        <w:t xml:space="preserve"> </w:t>
      </w:r>
    </w:p>
    <w:p w:rsidR="00B75D56" w:rsidRDefault="00B726C7" w:rsidP="00EC3090">
      <w:pPr>
        <w:ind w:left="-5" w:right="1"/>
      </w:pPr>
      <w:r>
        <w:t>Al termine della verifica dei documenti delle buste A, la Commissione, in seduta pubblica, procederà all’apertura delle buste “</w:t>
      </w:r>
      <w:proofErr w:type="gramStart"/>
      <w:r w:rsidR="00EC3090">
        <w:rPr>
          <w:b/>
        </w:rPr>
        <w:t xml:space="preserve">B </w:t>
      </w:r>
      <w:r>
        <w:t xml:space="preserve"> </w:t>
      </w:r>
      <w:r>
        <w:rPr>
          <w:b/>
        </w:rPr>
        <w:t>–</w:t>
      </w:r>
      <w:proofErr w:type="gramEnd"/>
      <w:r>
        <w:rPr>
          <w:b/>
        </w:rPr>
        <w:t xml:space="preserve"> offerta economica</w:t>
      </w:r>
      <w:r>
        <w:t>”</w:t>
      </w:r>
      <w:r w:rsidR="002F2BD8">
        <w:t xml:space="preserve"> e la busta “</w:t>
      </w:r>
      <w:r w:rsidR="002F2BD8" w:rsidRPr="002F2BD8">
        <w:rPr>
          <w:b/>
        </w:rPr>
        <w:t>C Campionatura”</w:t>
      </w:r>
      <w:r>
        <w:t xml:space="preserve"> per accertare l’esistenza e la regolarità dei documenti</w:t>
      </w:r>
      <w:r w:rsidR="00796F2D">
        <w:t>/prodotto</w:t>
      </w:r>
      <w:r w:rsidR="00EC3090">
        <w:t xml:space="preserve">. </w:t>
      </w:r>
      <w:r>
        <w:t xml:space="preserve"> </w:t>
      </w:r>
    </w:p>
    <w:p w:rsidR="00B75D56" w:rsidRDefault="00B726C7">
      <w:pPr>
        <w:spacing w:after="102" w:line="259" w:lineRule="auto"/>
        <w:ind w:left="0" w:firstLine="0"/>
        <w:jc w:val="left"/>
      </w:pPr>
      <w:r>
        <w:t xml:space="preserve"> </w:t>
      </w:r>
    </w:p>
    <w:p w:rsidR="00B75D56" w:rsidRDefault="00EC3090">
      <w:pPr>
        <w:pStyle w:val="Titolo1"/>
        <w:ind w:right="8"/>
      </w:pPr>
      <w:r>
        <w:t>5</w:t>
      </w:r>
      <w:r w:rsidR="00B726C7">
        <w:t xml:space="preserve">) Specifiche tecniche e caratteristiche dei prodotti </w:t>
      </w:r>
    </w:p>
    <w:p w:rsidR="00B75D56" w:rsidRDefault="00EC3090">
      <w:pPr>
        <w:ind w:left="-5" w:right="1"/>
      </w:pPr>
      <w:r>
        <w:t xml:space="preserve">I portachiavi devono avere un corpo in plexiglass, trasparente, tagliati e lucidati a laser, di forma ovale con spessore unico </w:t>
      </w:r>
      <w:proofErr w:type="gramStart"/>
      <w:r>
        <w:t>di  8</w:t>
      </w:r>
      <w:proofErr w:type="gramEnd"/>
      <w:r>
        <w:t xml:space="preserve"> mm e dimensioni cm 9*6 cm e un anello metallico con diametro non inferiore a 2,5 cm.</w:t>
      </w:r>
      <w:r w:rsidR="00BB7F84">
        <w:t xml:space="preserve"> La posizi</w:t>
      </w:r>
      <w:r w:rsidR="004138AD">
        <w:t xml:space="preserve">one del foro, per l’anello, </w:t>
      </w:r>
      <w:r w:rsidR="00BB7F84">
        <w:t xml:space="preserve">deve essere eseguito in modo tale da </w:t>
      </w:r>
      <w:r w:rsidR="004138AD">
        <w:t xml:space="preserve">non </w:t>
      </w:r>
      <w:r w:rsidR="00BB7F84">
        <w:t>indebolire il portachiavi stesso.</w:t>
      </w:r>
    </w:p>
    <w:p w:rsidR="00EC3090" w:rsidRPr="00BB7F84" w:rsidRDefault="002F2BD8">
      <w:pPr>
        <w:ind w:left="-5" w:right="1"/>
        <w:rPr>
          <w:b/>
        </w:rPr>
      </w:pPr>
      <w:r>
        <w:rPr>
          <w:b/>
        </w:rPr>
        <w:t>La campionatura d</w:t>
      </w:r>
      <w:r w:rsidR="00EC3090" w:rsidRPr="00BB7F84">
        <w:rPr>
          <w:b/>
        </w:rPr>
        <w:t>ovr</w:t>
      </w:r>
      <w:r>
        <w:rPr>
          <w:b/>
        </w:rPr>
        <w:t>à</w:t>
      </w:r>
      <w:r w:rsidR="00EC3090" w:rsidRPr="00BB7F84">
        <w:rPr>
          <w:b/>
        </w:rPr>
        <w:t xml:space="preserve"> riportare la seguente dicitura</w:t>
      </w:r>
      <w:r>
        <w:rPr>
          <w:b/>
        </w:rPr>
        <w:t xml:space="preserve"> di prova,</w:t>
      </w:r>
      <w:r w:rsidR="00BB7F84" w:rsidRPr="00BB7F84">
        <w:rPr>
          <w:b/>
        </w:rPr>
        <w:t xml:space="preserve"> </w:t>
      </w:r>
      <w:r>
        <w:rPr>
          <w:b/>
        </w:rPr>
        <w:t xml:space="preserve">su 3 righi, </w:t>
      </w:r>
      <w:r w:rsidR="00BB7F84" w:rsidRPr="00BB7F84">
        <w:rPr>
          <w:b/>
        </w:rPr>
        <w:t>incise a pantografo e non stampate</w:t>
      </w:r>
      <w:r w:rsidR="00EC3090" w:rsidRPr="00BB7F84">
        <w:rPr>
          <w:b/>
        </w:rPr>
        <w:t>:</w:t>
      </w:r>
    </w:p>
    <w:p w:rsidR="00EC3090" w:rsidRDefault="00EC3090" w:rsidP="00BB7F84">
      <w:pPr>
        <w:pStyle w:val="Paragrafoelenco"/>
        <w:numPr>
          <w:ilvl w:val="0"/>
          <w:numId w:val="13"/>
        </w:numPr>
        <w:ind w:right="1"/>
      </w:pPr>
      <w:r>
        <w:t xml:space="preserve">E.R.S.U. CATANIA </w:t>
      </w:r>
    </w:p>
    <w:p w:rsidR="00EC3090" w:rsidRDefault="002F2BD8" w:rsidP="00BB7F84">
      <w:pPr>
        <w:pStyle w:val="Paragrafoelenco"/>
        <w:numPr>
          <w:ilvl w:val="0"/>
          <w:numId w:val="13"/>
        </w:numPr>
        <w:ind w:right="1"/>
      </w:pPr>
      <w:r>
        <w:t>UFFICI AMMINISTRATIVI</w:t>
      </w:r>
    </w:p>
    <w:p w:rsidR="00EC3090" w:rsidRDefault="002F2BD8" w:rsidP="00BB7F84">
      <w:pPr>
        <w:pStyle w:val="Paragrafoelenco"/>
        <w:numPr>
          <w:ilvl w:val="0"/>
          <w:numId w:val="13"/>
        </w:numPr>
        <w:ind w:right="1"/>
      </w:pPr>
      <w:r>
        <w:t>CONSEGNATARIO</w:t>
      </w:r>
    </w:p>
    <w:p w:rsidR="00EC3090" w:rsidRPr="00BB7F84" w:rsidRDefault="00BB7F84">
      <w:pPr>
        <w:ind w:left="-5" w:right="1"/>
        <w:rPr>
          <w:b/>
          <w:color w:val="FF0000"/>
        </w:rPr>
      </w:pPr>
      <w:r w:rsidRPr="00BB7F84">
        <w:rPr>
          <w:b/>
          <w:color w:val="FF0000"/>
        </w:rPr>
        <w:t xml:space="preserve">Le incisioni dovranno risaltare con l’uso di un unico colore. </w:t>
      </w:r>
    </w:p>
    <w:p w:rsidR="00BB7F84" w:rsidRPr="00BB7F84" w:rsidRDefault="00796F2D">
      <w:pPr>
        <w:ind w:left="-5" w:right="1"/>
        <w:rPr>
          <w:u w:val="single"/>
        </w:rPr>
      </w:pPr>
      <w:r>
        <w:rPr>
          <w:u w:val="single"/>
        </w:rPr>
        <w:t>In fase di espletamento della fornitura, i</w:t>
      </w:r>
      <w:r w:rsidR="00BB7F84" w:rsidRPr="00BB7F84">
        <w:rPr>
          <w:u w:val="single"/>
        </w:rPr>
        <w:t>n caso trattasi di portachiavi per camere doppie, un portachiavi dovrà avere incisioni con colore</w:t>
      </w:r>
      <w:r>
        <w:rPr>
          <w:u w:val="single"/>
        </w:rPr>
        <w:t xml:space="preserve"> blu e l’altro con colore rosso e dovrà sempre riportare tre righe. 1) E.R.S.U. CATANIA 2) NOME DELLA RESIDENZA 3) N° DELLA STANZA</w:t>
      </w:r>
    </w:p>
    <w:p w:rsidR="00BB7F84" w:rsidRDefault="003D48C4">
      <w:pPr>
        <w:ind w:left="-5" w:right="1"/>
      </w:pPr>
      <w:r>
        <w:t xml:space="preserve">L’ERSU </w:t>
      </w:r>
      <w:r w:rsidR="00B726C7">
        <w:t xml:space="preserve">si riserva di procedere a controlli qualitativi </w:t>
      </w:r>
      <w:r w:rsidR="00BB7F84">
        <w:t>sul prodotto fornito,</w:t>
      </w:r>
      <w:r w:rsidR="00B726C7">
        <w:t xml:space="preserve"> al fine di verificarne la rispondenza alle caratteristiche dichiarate in sede di offerta</w:t>
      </w:r>
      <w:r w:rsidR="00BB7F84">
        <w:t xml:space="preserve">. </w:t>
      </w:r>
    </w:p>
    <w:p w:rsidR="00B75D56" w:rsidRPr="00C9338A" w:rsidRDefault="00BB7F84">
      <w:pPr>
        <w:ind w:left="-5" w:right="1"/>
        <w:rPr>
          <w:i/>
          <w:color w:val="FF0000"/>
          <w:u w:val="single"/>
        </w:rPr>
      </w:pPr>
      <w:r w:rsidRPr="00C9338A">
        <w:rPr>
          <w:i/>
          <w:color w:val="FF0000"/>
          <w:u w:val="single"/>
        </w:rPr>
        <w:t>Il materiale utilizzato non deve procurare allergie.</w:t>
      </w:r>
      <w:r w:rsidR="00B726C7" w:rsidRPr="00C9338A">
        <w:rPr>
          <w:i/>
          <w:color w:val="FF0000"/>
          <w:u w:val="single"/>
        </w:rPr>
        <w:t xml:space="preserve"> </w:t>
      </w:r>
    </w:p>
    <w:p w:rsidR="00B75D56" w:rsidRDefault="00B726C7">
      <w:pPr>
        <w:ind w:left="-5" w:right="1"/>
      </w:pPr>
      <w:r>
        <w:t xml:space="preserve">In caso di difformità i prodotti contestati dovranno essere sostituiti a spese della ditta nel minor tempo possibile, fatto salvo il rimborso delle spese sostenute nell’esecuzione dei suddetti controlli e il pagamento della relativa penale, nonché il risarcimento per eventuali ulteriori danni. </w:t>
      </w:r>
    </w:p>
    <w:p w:rsidR="00B75D56" w:rsidRDefault="00B726C7">
      <w:pPr>
        <w:spacing w:after="103" w:line="259" w:lineRule="auto"/>
        <w:ind w:left="0" w:firstLine="0"/>
        <w:jc w:val="left"/>
      </w:pPr>
      <w:r>
        <w:t xml:space="preserve"> </w:t>
      </w:r>
    </w:p>
    <w:p w:rsidR="00B75D56" w:rsidRDefault="00BB7F84">
      <w:pPr>
        <w:ind w:left="-15" w:right="1" w:firstLine="72"/>
      </w:pPr>
      <w:r>
        <w:rPr>
          <w:b/>
        </w:rPr>
        <w:t>6</w:t>
      </w:r>
      <w:r w:rsidR="00B726C7">
        <w:rPr>
          <w:b/>
        </w:rPr>
        <w:t xml:space="preserve">) Obblighi da assumere da parte del vincitore della gara e divieto di subappalto e cessione del contratto di concessione </w:t>
      </w:r>
      <w:r w:rsidR="003D48C4">
        <w:t>l’ERSU di Catania</w:t>
      </w:r>
      <w:r w:rsidR="00B726C7">
        <w:t xml:space="preserve"> è sollevato da qualsiasi responsabilità civile e penale derivante dall'esecuzione del servizio oggetto della concessione e, pertanto, il Concessionario si obbliga alla completa ottemperanza di tutte le disposizioni legislative e dei regolamenti riguardanti l'assicurazione infortunistica, previdenziale e mutualistica dei propri dipendenti </w:t>
      </w:r>
      <w:r w:rsidR="00B726C7">
        <w:lastRenderedPageBreak/>
        <w:t xml:space="preserve">addetti ai lavori sopraccitati e della legge sulla prevenzione e la sicurezza del lavoro, assumendone la piena responsabilità anche in caso di inadempienza. </w:t>
      </w:r>
    </w:p>
    <w:p w:rsidR="00B75D56" w:rsidRDefault="003D48C4">
      <w:pPr>
        <w:ind w:left="-5" w:right="1"/>
      </w:pPr>
      <w:r>
        <w:t>L’ERSU</w:t>
      </w:r>
      <w:r w:rsidR="00B726C7">
        <w:t xml:space="preserve"> non sarà responsabile di eventuali danni che dovessero essere causati </w:t>
      </w:r>
      <w:r w:rsidR="00A42127">
        <w:t>a</w:t>
      </w:r>
      <w:r w:rsidR="00B726C7">
        <w:t xml:space="preserve">gli utenti </w:t>
      </w:r>
      <w:r w:rsidR="00A42127">
        <w:t>durante l’uso corretto dei portachiavi. (</w:t>
      </w:r>
      <w:proofErr w:type="gramStart"/>
      <w:r w:rsidR="00A42127">
        <w:t>in</w:t>
      </w:r>
      <w:proofErr w:type="gramEnd"/>
      <w:r w:rsidR="00A42127">
        <w:t xml:space="preserve"> caso di ferimento per rotture non spiegabili con il normale uso)</w:t>
      </w:r>
      <w:r w:rsidR="006E5DDC">
        <w:t>.</w:t>
      </w:r>
    </w:p>
    <w:p w:rsidR="00B75D56" w:rsidRDefault="00B726C7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B75D56" w:rsidRDefault="00B726C7" w:rsidP="00C9338A">
      <w:pPr>
        <w:spacing w:after="102" w:line="259" w:lineRule="auto"/>
        <w:ind w:right="1"/>
      </w:pPr>
      <w:r w:rsidRPr="00CC62A4">
        <w:rPr>
          <w:b/>
        </w:rPr>
        <w:t>E’ vietato subappaltare</w:t>
      </w:r>
      <w:r>
        <w:t xml:space="preserve"> la concessione ed è vietata la cessione del contratto di concessione. </w:t>
      </w:r>
    </w:p>
    <w:p w:rsidR="00B75D56" w:rsidRDefault="00B75D56">
      <w:pPr>
        <w:spacing w:after="102" w:line="259" w:lineRule="auto"/>
        <w:ind w:left="0" w:firstLine="0"/>
        <w:jc w:val="left"/>
      </w:pPr>
    </w:p>
    <w:p w:rsidR="00B75D56" w:rsidRDefault="006E5DDC">
      <w:pPr>
        <w:pStyle w:val="Titolo1"/>
        <w:ind w:right="12"/>
      </w:pPr>
      <w:r>
        <w:t>7</w:t>
      </w:r>
      <w:r w:rsidR="00B726C7">
        <w:t xml:space="preserve">) Obblighi del concessionario relativi alla tracciabilità dei flussi finanziari </w:t>
      </w:r>
    </w:p>
    <w:p w:rsidR="00B75D56" w:rsidRDefault="00B726C7">
      <w:pPr>
        <w:ind w:left="-5" w:right="1"/>
      </w:pPr>
      <w:r>
        <w:t>Il Concessionario assume tutti gli obblighi di tracciabilità dei flussi finanziari di cui all’articolo 3 della legge 13 agosto 2010,</w:t>
      </w:r>
      <w:r w:rsidR="00C9338A">
        <w:t xml:space="preserve"> n. 136 e successive modifiche e deve avere tutte le posizioni contributive regolari (regolarità del DURC).</w:t>
      </w:r>
    </w:p>
    <w:p w:rsidR="00C9338A" w:rsidRDefault="00C9338A">
      <w:pPr>
        <w:ind w:left="-5" w:right="1"/>
      </w:pPr>
      <w:r>
        <w:t>La mancanza di uno di queste due condizioni determinerà l’impossibilità della liquidazione.</w:t>
      </w:r>
    </w:p>
    <w:p w:rsidR="00B75D56" w:rsidRDefault="00B726C7">
      <w:pPr>
        <w:spacing w:after="102" w:line="259" w:lineRule="auto"/>
        <w:ind w:left="43" w:firstLine="0"/>
        <w:jc w:val="center"/>
      </w:pPr>
      <w:r>
        <w:rPr>
          <w:b/>
        </w:rPr>
        <w:t xml:space="preserve"> </w:t>
      </w:r>
    </w:p>
    <w:p w:rsidR="00B75D56" w:rsidRDefault="00B726C7" w:rsidP="004138AD">
      <w:pPr>
        <w:pStyle w:val="Paragrafoelenco"/>
        <w:numPr>
          <w:ilvl w:val="0"/>
          <w:numId w:val="15"/>
        </w:numPr>
        <w:spacing w:after="103" w:line="259" w:lineRule="auto"/>
        <w:ind w:right="3"/>
        <w:jc w:val="center"/>
      </w:pPr>
      <w:r w:rsidRPr="004138AD">
        <w:rPr>
          <w:b/>
        </w:rPr>
        <w:t xml:space="preserve">Durata del contratto </w:t>
      </w:r>
      <w:r w:rsidR="00C9338A">
        <w:rPr>
          <w:b/>
        </w:rPr>
        <w:t>e pagamento</w:t>
      </w:r>
    </w:p>
    <w:p w:rsidR="00B75D56" w:rsidRDefault="00C9338A">
      <w:pPr>
        <w:spacing w:after="102" w:line="259" w:lineRule="auto"/>
        <w:ind w:left="-5" w:right="1"/>
      </w:pPr>
      <w:r>
        <w:t>La fornitura</w:t>
      </w:r>
      <w:r w:rsidR="00B726C7">
        <w:t xml:space="preserve"> avrà </w:t>
      </w:r>
      <w:proofErr w:type="gramStart"/>
      <w:r w:rsidR="00B726C7">
        <w:t>decorrenza  alla</w:t>
      </w:r>
      <w:proofErr w:type="gramEnd"/>
      <w:r w:rsidR="00B726C7">
        <w:t xml:space="preserve"> </w:t>
      </w:r>
      <w:r>
        <w:t>data di</w:t>
      </w:r>
      <w:r w:rsidR="00B726C7">
        <w:t xml:space="preserve"> sottoscrizione</w:t>
      </w:r>
      <w:r>
        <w:t xml:space="preserve"> della lettera di affidamento</w:t>
      </w:r>
      <w:r w:rsidR="00B726C7">
        <w:t xml:space="preserve"> e scadrà dopo </w:t>
      </w:r>
      <w:r w:rsidR="006E5DDC">
        <w:t>la regolare fornitura</w:t>
      </w:r>
      <w:r w:rsidR="00B726C7">
        <w:t xml:space="preserve">. </w:t>
      </w:r>
    </w:p>
    <w:p w:rsidR="00C9338A" w:rsidRDefault="00C9338A">
      <w:pPr>
        <w:spacing w:after="102" w:line="259" w:lineRule="auto"/>
        <w:ind w:left="-5" w:right="1"/>
      </w:pPr>
      <w:r>
        <w:t>Il pagamento avverrà dopo l’emissione del certificato si regolare fornitura redatta dal RUP.</w:t>
      </w:r>
    </w:p>
    <w:p w:rsidR="006E5DDC" w:rsidRDefault="006E5DDC">
      <w:pPr>
        <w:spacing w:after="102" w:line="259" w:lineRule="auto"/>
        <w:ind w:left="-5" w:right="1"/>
      </w:pPr>
    </w:p>
    <w:p w:rsidR="006E5DDC" w:rsidRDefault="00B726C7" w:rsidP="006E5DDC">
      <w:pPr>
        <w:pStyle w:val="Titolo1"/>
        <w:ind w:right="1"/>
      </w:pPr>
      <w:r>
        <w:t xml:space="preserve"> </w:t>
      </w:r>
      <w:r w:rsidR="004138AD">
        <w:t>9</w:t>
      </w:r>
      <w:r w:rsidR="006E5DDC">
        <w:t>) Varianti</w:t>
      </w:r>
    </w:p>
    <w:p w:rsidR="006E5DDC" w:rsidRDefault="006E5DDC" w:rsidP="006E5DDC">
      <w:pPr>
        <w:spacing w:after="102" w:line="259" w:lineRule="auto"/>
        <w:ind w:left="-5" w:right="1"/>
      </w:pPr>
      <w:r>
        <w:t xml:space="preserve">Non sono ammesse varianti a quanto indicato nella richiesta di offerta. </w:t>
      </w:r>
    </w:p>
    <w:p w:rsidR="00A156F8" w:rsidRDefault="00A156F8" w:rsidP="006E5DDC">
      <w:pPr>
        <w:spacing w:after="57" w:line="259" w:lineRule="auto"/>
        <w:ind w:right="1"/>
      </w:pPr>
    </w:p>
    <w:p w:rsidR="006E5DDC" w:rsidRDefault="004138AD" w:rsidP="006E5DDC">
      <w:pPr>
        <w:pStyle w:val="Titolo2"/>
        <w:ind w:left="0" w:right="2" w:firstLine="0"/>
      </w:pPr>
      <w:r>
        <w:t>10</w:t>
      </w:r>
      <w:r w:rsidR="00B726C7">
        <w:t xml:space="preserve">) </w:t>
      </w:r>
      <w:r w:rsidR="006E5DDC">
        <w:t>Informazioni</w:t>
      </w:r>
    </w:p>
    <w:p w:rsidR="00B75D56" w:rsidRDefault="00B75D56">
      <w:pPr>
        <w:spacing w:after="103" w:line="259" w:lineRule="auto"/>
        <w:ind w:right="5"/>
        <w:jc w:val="center"/>
      </w:pPr>
    </w:p>
    <w:p w:rsidR="007F30E5" w:rsidRPr="007F30E5" w:rsidRDefault="007F30E5" w:rsidP="007F30E5">
      <w:pPr>
        <w:ind w:left="-5" w:right="1"/>
        <w:rPr>
          <w:b/>
        </w:rPr>
      </w:pPr>
      <w:r w:rsidRPr="007F30E5">
        <w:rPr>
          <w:b/>
        </w:rPr>
        <w:t xml:space="preserve">RESPONSABILE DEL PROCEDIMENTO – Geom. Antonino Silvestro Castorina – Consegnatario dell’Ente (tel. 095/7517912) – </w:t>
      </w:r>
      <w:hyperlink r:id="rId8" w:history="1">
        <w:r w:rsidRPr="007F30E5">
          <w:rPr>
            <w:rStyle w:val="Collegamentoipertestuale"/>
            <w:b/>
            <w:i/>
          </w:rPr>
          <w:t>antonino.castorina@ersucatania.gov.it</w:t>
        </w:r>
      </w:hyperlink>
      <w:r w:rsidRPr="007F30E5">
        <w:rPr>
          <w:b/>
        </w:rPr>
        <w:t>.</w:t>
      </w:r>
    </w:p>
    <w:p w:rsidR="007F30E5" w:rsidRPr="007F30E5" w:rsidRDefault="007F30E5" w:rsidP="007F30E5">
      <w:pPr>
        <w:ind w:left="-5" w:right="1"/>
        <w:rPr>
          <w:b/>
        </w:rPr>
      </w:pPr>
      <w:r w:rsidRPr="007F30E5">
        <w:rPr>
          <w:b/>
        </w:rPr>
        <w:t xml:space="preserve">La documentazione di gara è pubblicata sul sito dell’ERSU di Catania </w:t>
      </w:r>
      <w:hyperlink r:id="rId9" w:history="1">
        <w:r w:rsidRPr="007F30E5">
          <w:rPr>
            <w:rStyle w:val="Collegamentoipertestuale"/>
            <w:b/>
          </w:rPr>
          <w:t>www.</w:t>
        </w:r>
      </w:hyperlink>
      <w:r w:rsidRPr="007F30E5">
        <w:rPr>
          <w:b/>
          <w:u w:val="single"/>
        </w:rPr>
        <w:t>ersucatania.gov.it</w:t>
      </w:r>
      <w:r w:rsidRPr="007F30E5">
        <w:rPr>
          <w:b/>
        </w:rPr>
        <w:t>.</w:t>
      </w:r>
      <w:r w:rsidRPr="007F30E5">
        <w:rPr>
          <w:b/>
        </w:rPr>
        <w:br/>
        <w:t xml:space="preserve">L’indirizzo di posta elettronica certificata (PEC) è </w:t>
      </w:r>
      <w:hyperlink r:id="rId10" w:history="1">
        <w:r w:rsidRPr="007F30E5">
          <w:rPr>
            <w:rStyle w:val="Collegamentoipertestuale"/>
            <w:b/>
          </w:rPr>
          <w:t>protocollo@pec.ersucatania.it</w:t>
        </w:r>
      </w:hyperlink>
      <w:r w:rsidRPr="007F30E5">
        <w:rPr>
          <w:b/>
        </w:rPr>
        <w:t xml:space="preserve"> --- COD: UFUZ63</w:t>
      </w:r>
    </w:p>
    <w:p w:rsidR="00B75D56" w:rsidRDefault="00B726C7">
      <w:pPr>
        <w:ind w:left="-5" w:right="1"/>
      </w:pPr>
      <w:r>
        <w:rPr>
          <w:b/>
        </w:rPr>
        <w:t xml:space="preserve">TRATTAMENTO DATI PERSONALI - </w:t>
      </w:r>
      <w:r>
        <w:t xml:space="preserve">Ai sensi del decreto legislativo 30 giugno 2003, n. 196, “Codice in materia di protezione dei dati personali”, si informa che: </w:t>
      </w:r>
    </w:p>
    <w:p w:rsidR="00B75D56" w:rsidRDefault="00B726C7">
      <w:pPr>
        <w:numPr>
          <w:ilvl w:val="0"/>
          <w:numId w:val="10"/>
        </w:numPr>
        <w:ind w:right="1" w:hanging="201"/>
      </w:pPr>
      <w:proofErr w:type="gramStart"/>
      <w:r>
        <w:t>le</w:t>
      </w:r>
      <w:proofErr w:type="gramEnd"/>
      <w:r>
        <w:t xml:space="preserve"> finalità a cui sono destinati i dati raccolti e le modalità di trattamento ineriscono la procedura di quanto oggetto della presente richiesta di offerta, nella piena tutela dei diritti dei concorrenti e della loro riservatezza; </w:t>
      </w:r>
    </w:p>
    <w:p w:rsidR="00B75D56" w:rsidRDefault="00B726C7">
      <w:pPr>
        <w:numPr>
          <w:ilvl w:val="0"/>
          <w:numId w:val="10"/>
        </w:numPr>
        <w:spacing w:after="105" w:line="259" w:lineRule="auto"/>
        <w:ind w:right="1" w:hanging="201"/>
      </w:pPr>
      <w:proofErr w:type="gramStart"/>
      <w:r>
        <w:t>i</w:t>
      </w:r>
      <w:proofErr w:type="gramEnd"/>
      <w:r>
        <w:t xml:space="preserve"> diritti dei soggetti interessati sono quelli di cui al d. </w:t>
      </w:r>
      <w:proofErr w:type="spellStart"/>
      <w:r>
        <w:t>lgs</w:t>
      </w:r>
      <w:proofErr w:type="spellEnd"/>
      <w:r>
        <w:t xml:space="preserve"> 196/2003 e successive modificazioni. </w:t>
      </w:r>
    </w:p>
    <w:p w:rsidR="00B75D56" w:rsidRDefault="00B726C7">
      <w:pPr>
        <w:spacing w:after="112" w:line="259" w:lineRule="auto"/>
        <w:ind w:left="0" w:firstLine="0"/>
        <w:jc w:val="left"/>
      </w:pPr>
      <w:r>
        <w:t xml:space="preserve"> </w:t>
      </w:r>
    </w:p>
    <w:p w:rsidR="007F30E5" w:rsidRPr="007F30E5" w:rsidRDefault="007F30E5" w:rsidP="007F30E5">
      <w:pPr>
        <w:spacing w:after="73" w:line="260" w:lineRule="auto"/>
        <w:ind w:left="5050" w:right="2182" w:firstLine="0"/>
        <w:jc w:val="center"/>
        <w:rPr>
          <w:rFonts w:ascii="Tahoma" w:eastAsia="Tahoma" w:hAnsi="Tahoma" w:cs="Tahoma"/>
          <w:b/>
        </w:rPr>
      </w:pPr>
      <w:r w:rsidRPr="007F30E5">
        <w:rPr>
          <w:rFonts w:ascii="Tahoma" w:eastAsia="Tahoma" w:hAnsi="Tahoma" w:cs="Tahoma"/>
          <w:b/>
        </w:rPr>
        <w:t>Il Direttore</w:t>
      </w:r>
    </w:p>
    <w:p w:rsidR="007F30E5" w:rsidRPr="007F30E5" w:rsidRDefault="007F30E5" w:rsidP="007F30E5">
      <w:pPr>
        <w:spacing w:after="73" w:line="260" w:lineRule="auto"/>
        <w:ind w:left="5050" w:right="2182" w:firstLine="0"/>
        <w:jc w:val="center"/>
        <w:rPr>
          <w:rFonts w:ascii="Tahoma" w:eastAsia="Tahoma" w:hAnsi="Tahoma" w:cs="Tahoma"/>
        </w:rPr>
      </w:pPr>
      <w:r w:rsidRPr="007F30E5">
        <w:rPr>
          <w:rFonts w:ascii="Tahoma" w:eastAsia="Tahoma" w:hAnsi="Tahoma" w:cs="Tahoma"/>
        </w:rPr>
        <w:t>Dott. Valerio Caltagirone</w:t>
      </w:r>
    </w:p>
    <w:p w:rsidR="00B75D56" w:rsidRDefault="007F30E5" w:rsidP="007F30E5">
      <w:pPr>
        <w:spacing w:after="73" w:line="260" w:lineRule="auto"/>
        <w:ind w:left="5050" w:right="2182" w:firstLine="0"/>
        <w:jc w:val="center"/>
      </w:pPr>
      <w:r w:rsidRPr="007F30E5">
        <w:rPr>
          <w:rFonts w:ascii="Tahoma" w:eastAsia="Tahoma" w:hAnsi="Tahoma" w:cs="Tahoma"/>
        </w:rPr>
        <w:t xml:space="preserve"> </w:t>
      </w:r>
      <w:r w:rsidR="00B726C7">
        <w:rPr>
          <w:rFonts w:ascii="Tahoma" w:eastAsia="Tahoma" w:hAnsi="Tahoma" w:cs="Tahoma"/>
          <w:color w:val="505050"/>
          <w:sz w:val="12"/>
        </w:rPr>
        <w:t xml:space="preserve">(Firma autografa sostituita a mezzo stampa ai sensi e per gli effetti dell’art. 3, c. 2, </w:t>
      </w:r>
      <w:proofErr w:type="spellStart"/>
      <w:r w:rsidR="00B726C7">
        <w:rPr>
          <w:rFonts w:ascii="Tahoma" w:eastAsia="Tahoma" w:hAnsi="Tahoma" w:cs="Tahoma"/>
          <w:color w:val="505050"/>
          <w:sz w:val="12"/>
        </w:rPr>
        <w:t>D.Lgs.</w:t>
      </w:r>
      <w:proofErr w:type="spellEnd"/>
      <w:r w:rsidR="00B726C7">
        <w:rPr>
          <w:rFonts w:ascii="Tahoma" w:eastAsia="Tahoma" w:hAnsi="Tahoma" w:cs="Tahoma"/>
          <w:color w:val="505050"/>
          <w:sz w:val="12"/>
        </w:rPr>
        <w:t xml:space="preserve"> n. 39/1993) </w:t>
      </w:r>
    </w:p>
    <w:p w:rsidR="00B75D56" w:rsidRDefault="00B726C7">
      <w:pPr>
        <w:spacing w:after="0" w:line="259" w:lineRule="auto"/>
        <w:ind w:left="0" w:firstLine="0"/>
        <w:jc w:val="left"/>
      </w:pPr>
      <w:r>
        <w:t xml:space="preserve"> </w:t>
      </w:r>
    </w:p>
    <w:p w:rsidR="00C9338A" w:rsidRDefault="00C9338A">
      <w:pPr>
        <w:tabs>
          <w:tab w:val="center" w:pos="708"/>
          <w:tab w:val="center" w:pos="3626"/>
        </w:tabs>
        <w:spacing w:after="0" w:line="259" w:lineRule="auto"/>
        <w:ind w:left="-15" w:firstLine="0"/>
        <w:jc w:val="left"/>
        <w:rPr>
          <w:sz w:val="16"/>
        </w:rPr>
      </w:pPr>
    </w:p>
    <w:p w:rsidR="00C9338A" w:rsidRDefault="00C9338A">
      <w:pPr>
        <w:tabs>
          <w:tab w:val="center" w:pos="708"/>
          <w:tab w:val="center" w:pos="3626"/>
        </w:tabs>
        <w:spacing w:after="0" w:line="259" w:lineRule="auto"/>
        <w:ind w:left="-15" w:firstLine="0"/>
        <w:jc w:val="left"/>
        <w:rPr>
          <w:sz w:val="16"/>
        </w:rPr>
      </w:pPr>
    </w:p>
    <w:p w:rsidR="00C9338A" w:rsidRDefault="00C9338A">
      <w:pPr>
        <w:tabs>
          <w:tab w:val="center" w:pos="708"/>
          <w:tab w:val="center" w:pos="3626"/>
        </w:tabs>
        <w:spacing w:after="0" w:line="259" w:lineRule="auto"/>
        <w:ind w:left="-15" w:firstLine="0"/>
        <w:jc w:val="left"/>
        <w:rPr>
          <w:sz w:val="16"/>
        </w:rPr>
      </w:pPr>
    </w:p>
    <w:p w:rsidR="00B75D56" w:rsidRDefault="00B726C7">
      <w:pPr>
        <w:tabs>
          <w:tab w:val="center" w:pos="708"/>
          <w:tab w:val="center" w:pos="3626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Allegati: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Allegato 1 – Domanda di partecipazione (da inserire nella busta “A”) </w:t>
      </w:r>
    </w:p>
    <w:p w:rsidR="00B75D56" w:rsidRDefault="00B726C7">
      <w:pPr>
        <w:tabs>
          <w:tab w:val="center" w:pos="708"/>
          <w:tab w:val="center" w:pos="3152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Allegato 2 – Dichiarazioni (da inserire nella busta “A”) </w:t>
      </w:r>
    </w:p>
    <w:p w:rsidR="00B75D56" w:rsidRDefault="00B726C7" w:rsidP="00C9338A">
      <w:pPr>
        <w:tabs>
          <w:tab w:val="center" w:pos="708"/>
          <w:tab w:val="center" w:pos="3216"/>
        </w:tabs>
        <w:spacing w:after="0" w:line="259" w:lineRule="auto"/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6E5DDC">
        <w:rPr>
          <w:sz w:val="16"/>
        </w:rPr>
        <w:t xml:space="preserve">      </w:t>
      </w:r>
      <w:r>
        <w:rPr>
          <w:sz w:val="16"/>
        </w:rPr>
        <w:t xml:space="preserve">Allegato 3 – </w:t>
      </w:r>
      <w:r w:rsidR="006E5DDC">
        <w:rPr>
          <w:sz w:val="16"/>
        </w:rPr>
        <w:t>Offerta economica (da inserire nella busta “B”)</w:t>
      </w:r>
    </w:p>
    <w:sectPr w:rsidR="00B75D56" w:rsidSect="00DF73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1134" w:right="1077" w:bottom="568" w:left="1077" w:header="708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C8" w:rsidRDefault="007C7BC8">
      <w:pPr>
        <w:spacing w:after="0" w:line="240" w:lineRule="auto"/>
      </w:pPr>
      <w:r>
        <w:separator/>
      </w:r>
    </w:p>
  </w:endnote>
  <w:endnote w:type="continuationSeparator" w:id="0">
    <w:p w:rsidR="007C7BC8" w:rsidRDefault="007C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6" w:rsidRDefault="00B726C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10</w:t>
    </w:r>
    <w:r>
      <w:rPr>
        <w:b/>
        <w:sz w:val="24"/>
      </w:rPr>
      <w:fldChar w:fldCharType="end"/>
    </w:r>
    <w:r>
      <w:rPr>
        <w:sz w:val="24"/>
      </w:rPr>
      <w:t xml:space="preserve"> di </w:t>
    </w:r>
    <w:r w:rsidR="007C7BC8">
      <w:fldChar w:fldCharType="begin"/>
    </w:r>
    <w:r w:rsidR="007C7BC8">
      <w:instrText xml:space="preserve"> NUMPAGES   \* MERGEFORMAT </w:instrText>
    </w:r>
    <w:r w:rsidR="007C7BC8">
      <w:fldChar w:fldCharType="separate"/>
    </w:r>
    <w:r w:rsidR="009B28BC" w:rsidRPr="009B28BC">
      <w:rPr>
        <w:b/>
        <w:noProof/>
        <w:sz w:val="24"/>
      </w:rPr>
      <w:t>12</w:t>
    </w:r>
    <w:r w:rsidR="007C7BC8">
      <w:rPr>
        <w:b/>
        <w:noProof/>
        <w:sz w:val="24"/>
      </w:rPr>
      <w:fldChar w:fldCharType="end"/>
    </w:r>
    <w:r>
      <w:rPr>
        <w:sz w:val="24"/>
      </w:rPr>
      <w:t xml:space="preserve"> </w:t>
    </w:r>
  </w:p>
  <w:p w:rsidR="00B75D56" w:rsidRDefault="00B726C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6" w:rsidRDefault="00B726C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4BB" w:rsidRPr="003B44BB">
      <w:rPr>
        <w:b/>
        <w:noProof/>
        <w:sz w:val="24"/>
      </w:rPr>
      <w:t>5</w:t>
    </w:r>
    <w:r>
      <w:rPr>
        <w:b/>
        <w:sz w:val="24"/>
      </w:rPr>
      <w:fldChar w:fldCharType="end"/>
    </w:r>
    <w:r>
      <w:rPr>
        <w:sz w:val="24"/>
      </w:rPr>
      <w:t xml:space="preserve"> di </w:t>
    </w:r>
    <w:r w:rsidR="007C7BC8">
      <w:fldChar w:fldCharType="begin"/>
    </w:r>
    <w:r w:rsidR="007C7BC8">
      <w:instrText xml:space="preserve"> NUMPAGES   \* MERGEFORMAT </w:instrText>
    </w:r>
    <w:r w:rsidR="007C7BC8">
      <w:fldChar w:fldCharType="separate"/>
    </w:r>
    <w:r w:rsidR="003B44BB" w:rsidRPr="003B44BB">
      <w:rPr>
        <w:b/>
        <w:noProof/>
        <w:sz w:val="24"/>
      </w:rPr>
      <w:t>5</w:t>
    </w:r>
    <w:r w:rsidR="007C7BC8">
      <w:rPr>
        <w:b/>
        <w:noProof/>
        <w:sz w:val="24"/>
      </w:rPr>
      <w:fldChar w:fldCharType="end"/>
    </w:r>
    <w:r>
      <w:rPr>
        <w:sz w:val="24"/>
      </w:rPr>
      <w:t xml:space="preserve"> </w:t>
    </w:r>
  </w:p>
  <w:p w:rsidR="00B75D56" w:rsidRDefault="00B726C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6" w:rsidRDefault="00B726C7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4"/>
      </w:rPr>
      <w:t>10</w:t>
    </w:r>
    <w:r>
      <w:rPr>
        <w:b/>
        <w:sz w:val="24"/>
      </w:rPr>
      <w:fldChar w:fldCharType="end"/>
    </w:r>
    <w:r>
      <w:rPr>
        <w:sz w:val="24"/>
      </w:rPr>
      <w:t xml:space="preserve"> di </w:t>
    </w:r>
    <w:r w:rsidR="007C7BC8">
      <w:fldChar w:fldCharType="begin"/>
    </w:r>
    <w:r w:rsidR="007C7BC8">
      <w:instrText xml:space="preserve"> NUMPAGES   \* MERGEFORMAT </w:instrText>
    </w:r>
    <w:r w:rsidR="007C7BC8">
      <w:fldChar w:fldCharType="separate"/>
    </w:r>
    <w:r w:rsidR="009B28BC" w:rsidRPr="009B28BC">
      <w:rPr>
        <w:b/>
        <w:noProof/>
        <w:sz w:val="24"/>
      </w:rPr>
      <w:t>12</w:t>
    </w:r>
    <w:r w:rsidR="007C7BC8">
      <w:rPr>
        <w:b/>
        <w:noProof/>
        <w:sz w:val="24"/>
      </w:rPr>
      <w:fldChar w:fldCharType="end"/>
    </w:r>
    <w:r>
      <w:rPr>
        <w:sz w:val="24"/>
      </w:rPr>
      <w:t xml:space="preserve"> </w:t>
    </w:r>
  </w:p>
  <w:p w:rsidR="00B75D56" w:rsidRDefault="00B726C7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C8" w:rsidRDefault="007C7BC8">
      <w:pPr>
        <w:spacing w:after="0" w:line="240" w:lineRule="auto"/>
      </w:pPr>
      <w:r>
        <w:separator/>
      </w:r>
    </w:p>
  </w:footnote>
  <w:footnote w:type="continuationSeparator" w:id="0">
    <w:p w:rsidR="007C7BC8" w:rsidRDefault="007C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6" w:rsidRDefault="00B726C7">
    <w:pPr>
      <w:spacing w:after="0" w:line="259" w:lineRule="auto"/>
      <w:ind w:left="-253" w:right="-326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468630</wp:posOffset>
          </wp:positionH>
          <wp:positionV relativeFrom="page">
            <wp:posOffset>449580</wp:posOffset>
          </wp:positionV>
          <wp:extent cx="6729984" cy="1536192"/>
          <wp:effectExtent l="0" t="0" r="0" b="0"/>
          <wp:wrapSquare wrapText="bothSides"/>
          <wp:docPr id="13" name="Picture 9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7" name="Picture 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153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6" w:rsidRDefault="007C1C38">
    <w:pPr>
      <w:spacing w:after="0" w:line="259" w:lineRule="auto"/>
      <w:ind w:left="-253" w:right="-326" w:firstLine="0"/>
      <w:jc w:val="right"/>
    </w:pPr>
    <w:r w:rsidRPr="002258CD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anchor distT="0" distB="0" distL="114935" distR="114935" simplePos="0" relativeHeight="251667456" behindDoc="1" locked="0" layoutInCell="1" allowOverlap="1" wp14:anchorId="6E4E4D3A" wp14:editId="4CF5AC98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1514475" cy="1598295"/>
          <wp:effectExtent l="0" t="0" r="9525" b="190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5982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26C7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D56" w:rsidRDefault="00B726C7">
    <w:pPr>
      <w:spacing w:after="0" w:line="259" w:lineRule="auto"/>
      <w:ind w:left="-253" w:right="-326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468630</wp:posOffset>
          </wp:positionH>
          <wp:positionV relativeFrom="page">
            <wp:posOffset>449580</wp:posOffset>
          </wp:positionV>
          <wp:extent cx="6729984" cy="1536192"/>
          <wp:effectExtent l="0" t="0" r="0" b="0"/>
          <wp:wrapSquare wrapText="bothSides"/>
          <wp:docPr id="15" name="Picture 96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7" name="Picture 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29984" cy="1536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22A"/>
    <w:multiLevelType w:val="hybridMultilevel"/>
    <w:tmpl w:val="609A7CF8"/>
    <w:lvl w:ilvl="0" w:tplc="7DD82356">
      <w:start w:val="1"/>
      <w:numFmt w:val="bullet"/>
      <w:lvlText w:val=""/>
      <w:lvlJc w:val="left"/>
      <w:pPr>
        <w:tabs>
          <w:tab w:val="num" w:pos="312"/>
        </w:tabs>
        <w:ind w:left="312" w:hanging="43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3A7037"/>
    <w:multiLevelType w:val="hybridMultilevel"/>
    <w:tmpl w:val="82184FAE"/>
    <w:lvl w:ilvl="0" w:tplc="48BEF332">
      <w:start w:val="1"/>
      <w:numFmt w:val="lowerLetter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0E00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8E1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10A5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06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76E5B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B6F3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BA68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EA99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EE64C8"/>
    <w:multiLevelType w:val="hybridMultilevel"/>
    <w:tmpl w:val="2A08EEDE"/>
    <w:lvl w:ilvl="0" w:tplc="5B82E412">
      <w:start w:val="1"/>
      <w:numFmt w:val="lowerLetter"/>
      <w:lvlText w:val="%1)"/>
      <w:lvlJc w:val="left"/>
      <w:pPr>
        <w:ind w:left="2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B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80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8E0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84C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6B4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8F9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E29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0A4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2E7B6B"/>
    <w:multiLevelType w:val="hybridMultilevel"/>
    <w:tmpl w:val="218A2D1E"/>
    <w:lvl w:ilvl="0" w:tplc="5896D60A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3AE1BE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60173E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CA7D56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A4EE62E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C5ADCA2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58AA6A8">
      <w:start w:val="1"/>
      <w:numFmt w:val="bullet"/>
      <w:lvlText w:val="•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5CFCC6">
      <w:start w:val="1"/>
      <w:numFmt w:val="bullet"/>
      <w:lvlText w:val="o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FCAA484">
      <w:start w:val="1"/>
      <w:numFmt w:val="bullet"/>
      <w:lvlText w:val="▪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9361E5"/>
    <w:multiLevelType w:val="hybridMultilevel"/>
    <w:tmpl w:val="9ADA37BE"/>
    <w:lvl w:ilvl="0" w:tplc="B05EA4CC">
      <w:start w:val="8"/>
      <w:numFmt w:val="decimal"/>
      <w:lvlText w:val="%1)"/>
      <w:lvlJc w:val="left"/>
      <w:pPr>
        <w:ind w:left="6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9" w:hanging="360"/>
      </w:pPr>
    </w:lvl>
    <w:lvl w:ilvl="2" w:tplc="0410001B" w:tentative="1">
      <w:start w:val="1"/>
      <w:numFmt w:val="lowerRoman"/>
      <w:lvlText w:val="%3."/>
      <w:lvlJc w:val="right"/>
      <w:pPr>
        <w:ind w:left="2109" w:hanging="180"/>
      </w:pPr>
    </w:lvl>
    <w:lvl w:ilvl="3" w:tplc="0410000F" w:tentative="1">
      <w:start w:val="1"/>
      <w:numFmt w:val="decimal"/>
      <w:lvlText w:val="%4."/>
      <w:lvlJc w:val="left"/>
      <w:pPr>
        <w:ind w:left="2829" w:hanging="360"/>
      </w:pPr>
    </w:lvl>
    <w:lvl w:ilvl="4" w:tplc="04100019" w:tentative="1">
      <w:start w:val="1"/>
      <w:numFmt w:val="lowerLetter"/>
      <w:lvlText w:val="%5."/>
      <w:lvlJc w:val="left"/>
      <w:pPr>
        <w:ind w:left="3549" w:hanging="360"/>
      </w:pPr>
    </w:lvl>
    <w:lvl w:ilvl="5" w:tplc="0410001B" w:tentative="1">
      <w:start w:val="1"/>
      <w:numFmt w:val="lowerRoman"/>
      <w:lvlText w:val="%6."/>
      <w:lvlJc w:val="right"/>
      <w:pPr>
        <w:ind w:left="4269" w:hanging="180"/>
      </w:pPr>
    </w:lvl>
    <w:lvl w:ilvl="6" w:tplc="0410000F" w:tentative="1">
      <w:start w:val="1"/>
      <w:numFmt w:val="decimal"/>
      <w:lvlText w:val="%7."/>
      <w:lvlJc w:val="left"/>
      <w:pPr>
        <w:ind w:left="4989" w:hanging="360"/>
      </w:pPr>
    </w:lvl>
    <w:lvl w:ilvl="7" w:tplc="04100019" w:tentative="1">
      <w:start w:val="1"/>
      <w:numFmt w:val="lowerLetter"/>
      <w:lvlText w:val="%8."/>
      <w:lvlJc w:val="left"/>
      <w:pPr>
        <w:ind w:left="5709" w:hanging="360"/>
      </w:pPr>
    </w:lvl>
    <w:lvl w:ilvl="8" w:tplc="0410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5" w15:restartNumberingAfterBreak="0">
    <w:nsid w:val="1B874427"/>
    <w:multiLevelType w:val="hybridMultilevel"/>
    <w:tmpl w:val="C0563C10"/>
    <w:lvl w:ilvl="0" w:tplc="A99C3BB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E888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45F2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CCD2A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66D6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286C3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A29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020A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86BD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378D1"/>
    <w:multiLevelType w:val="hybridMultilevel"/>
    <w:tmpl w:val="5E5C4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46672"/>
    <w:multiLevelType w:val="hybridMultilevel"/>
    <w:tmpl w:val="CD5A929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3FD22E62"/>
    <w:multiLevelType w:val="hybridMultilevel"/>
    <w:tmpl w:val="3BACC742"/>
    <w:lvl w:ilvl="0" w:tplc="B2E819FC">
      <w:start w:val="1"/>
      <w:numFmt w:val="bullet"/>
      <w:lvlText w:val="-"/>
      <w:lvlJc w:val="left"/>
      <w:pPr>
        <w:ind w:left="7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6AE2BA">
      <w:start w:val="1"/>
      <w:numFmt w:val="bullet"/>
      <w:lvlText w:val="o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879EE">
      <w:start w:val="1"/>
      <w:numFmt w:val="bullet"/>
      <w:lvlText w:val="▪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AE503E">
      <w:start w:val="1"/>
      <w:numFmt w:val="bullet"/>
      <w:lvlText w:val="•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B2CB98">
      <w:start w:val="1"/>
      <w:numFmt w:val="bullet"/>
      <w:lvlText w:val="o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58D0BE">
      <w:start w:val="1"/>
      <w:numFmt w:val="bullet"/>
      <w:lvlText w:val="▪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028EDC">
      <w:start w:val="1"/>
      <w:numFmt w:val="bullet"/>
      <w:lvlText w:val="•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54D1F0">
      <w:start w:val="1"/>
      <w:numFmt w:val="bullet"/>
      <w:lvlText w:val="o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D714">
      <w:start w:val="1"/>
      <w:numFmt w:val="bullet"/>
      <w:lvlText w:val="▪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31A09"/>
    <w:multiLevelType w:val="hybridMultilevel"/>
    <w:tmpl w:val="EA020C38"/>
    <w:lvl w:ilvl="0" w:tplc="03EE2298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C0DBF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8754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AA2E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E389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A00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34695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B029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F413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7061AC"/>
    <w:multiLevelType w:val="hybridMultilevel"/>
    <w:tmpl w:val="92BA7484"/>
    <w:lvl w:ilvl="0" w:tplc="79A081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98197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CA2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8EC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A03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CA7C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50A3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A64E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6471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C0615D3"/>
    <w:multiLevelType w:val="hybridMultilevel"/>
    <w:tmpl w:val="E3A82914"/>
    <w:lvl w:ilvl="0" w:tplc="461065C6">
      <w:start w:val="9"/>
      <w:numFmt w:val="decimal"/>
      <w:lvlText w:val="%1)"/>
      <w:lvlJc w:val="left"/>
      <w:pPr>
        <w:ind w:left="3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1C6EBA">
      <w:start w:val="1"/>
      <w:numFmt w:val="lowerLetter"/>
      <w:lvlText w:val="%2"/>
      <w:lvlJc w:val="left"/>
      <w:pPr>
        <w:ind w:left="45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6670E">
      <w:start w:val="1"/>
      <w:numFmt w:val="lowerRoman"/>
      <w:lvlText w:val="%3"/>
      <w:lvlJc w:val="left"/>
      <w:pPr>
        <w:ind w:left="5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940904">
      <w:start w:val="1"/>
      <w:numFmt w:val="decimal"/>
      <w:lvlText w:val="%4"/>
      <w:lvlJc w:val="left"/>
      <w:pPr>
        <w:ind w:left="59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E1E6">
      <w:start w:val="1"/>
      <w:numFmt w:val="lowerLetter"/>
      <w:lvlText w:val="%5"/>
      <w:lvlJc w:val="left"/>
      <w:pPr>
        <w:ind w:left="669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B24B22">
      <w:start w:val="1"/>
      <w:numFmt w:val="lowerRoman"/>
      <w:lvlText w:val="%6"/>
      <w:lvlJc w:val="left"/>
      <w:pPr>
        <w:ind w:left="74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16BE10">
      <w:start w:val="1"/>
      <w:numFmt w:val="decimal"/>
      <w:lvlText w:val="%7"/>
      <w:lvlJc w:val="left"/>
      <w:pPr>
        <w:ind w:left="813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4A3128">
      <w:start w:val="1"/>
      <w:numFmt w:val="lowerLetter"/>
      <w:lvlText w:val="%8"/>
      <w:lvlJc w:val="left"/>
      <w:pPr>
        <w:ind w:left="88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6FB00">
      <w:start w:val="1"/>
      <w:numFmt w:val="lowerRoman"/>
      <w:lvlText w:val="%9"/>
      <w:lvlJc w:val="left"/>
      <w:pPr>
        <w:ind w:left="95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ED665D"/>
    <w:multiLevelType w:val="hybridMultilevel"/>
    <w:tmpl w:val="B4D00BAA"/>
    <w:lvl w:ilvl="0" w:tplc="04100001">
      <w:start w:val="1"/>
      <w:numFmt w:val="bullet"/>
      <w:lvlText w:val=""/>
      <w:lvlJc w:val="left"/>
      <w:pPr>
        <w:ind w:left="211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1E0BC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802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8E0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84C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06B4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F8F9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E29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0A4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00547A"/>
    <w:multiLevelType w:val="hybridMultilevel"/>
    <w:tmpl w:val="25382BE6"/>
    <w:lvl w:ilvl="0" w:tplc="8D24211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0A2BA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ACAC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FABD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CAB5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472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22A8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6CC61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36E6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030F1F"/>
    <w:multiLevelType w:val="hybridMultilevel"/>
    <w:tmpl w:val="76DEBC6A"/>
    <w:lvl w:ilvl="0" w:tplc="D9B6CA86">
      <w:start w:val="1"/>
      <w:numFmt w:val="bullet"/>
      <w:lvlText w:val="•"/>
      <w:lvlJc w:val="left"/>
      <w:pPr>
        <w:ind w:left="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816AF7C">
      <w:start w:val="1"/>
      <w:numFmt w:val="bullet"/>
      <w:lvlText w:val="o"/>
      <w:lvlJc w:val="left"/>
      <w:pPr>
        <w:ind w:left="1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54A5AD0">
      <w:start w:val="1"/>
      <w:numFmt w:val="bullet"/>
      <w:lvlText w:val="▪"/>
      <w:lvlJc w:val="left"/>
      <w:pPr>
        <w:ind w:left="2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AA953E">
      <w:start w:val="1"/>
      <w:numFmt w:val="bullet"/>
      <w:lvlText w:val="•"/>
      <w:lvlJc w:val="left"/>
      <w:pPr>
        <w:ind w:left="3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292B64C">
      <w:start w:val="1"/>
      <w:numFmt w:val="bullet"/>
      <w:lvlText w:val="o"/>
      <w:lvlJc w:val="left"/>
      <w:pPr>
        <w:ind w:left="38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7B216E2">
      <w:start w:val="1"/>
      <w:numFmt w:val="bullet"/>
      <w:lvlText w:val="▪"/>
      <w:lvlJc w:val="left"/>
      <w:pPr>
        <w:ind w:left="4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7E9C94">
      <w:start w:val="1"/>
      <w:numFmt w:val="bullet"/>
      <w:lvlText w:val="•"/>
      <w:lvlJc w:val="left"/>
      <w:pPr>
        <w:ind w:left="5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8165696">
      <w:start w:val="1"/>
      <w:numFmt w:val="bullet"/>
      <w:lvlText w:val="o"/>
      <w:lvlJc w:val="left"/>
      <w:pPr>
        <w:ind w:left="6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95A9B88">
      <w:start w:val="1"/>
      <w:numFmt w:val="bullet"/>
      <w:lvlText w:val="▪"/>
      <w:lvlJc w:val="left"/>
      <w:pPr>
        <w:ind w:left="6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8765FA"/>
    <w:multiLevelType w:val="hybridMultilevel"/>
    <w:tmpl w:val="AA169D86"/>
    <w:lvl w:ilvl="0" w:tplc="8E2A6AE8">
      <w:start w:val="8"/>
      <w:numFmt w:val="decimal"/>
      <w:lvlText w:val="%1)"/>
      <w:lvlJc w:val="left"/>
      <w:pPr>
        <w:ind w:left="6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89" w:hanging="360"/>
      </w:pPr>
    </w:lvl>
    <w:lvl w:ilvl="2" w:tplc="0410001B" w:tentative="1">
      <w:start w:val="1"/>
      <w:numFmt w:val="lowerRoman"/>
      <w:lvlText w:val="%3."/>
      <w:lvlJc w:val="right"/>
      <w:pPr>
        <w:ind w:left="2109" w:hanging="180"/>
      </w:pPr>
    </w:lvl>
    <w:lvl w:ilvl="3" w:tplc="0410000F" w:tentative="1">
      <w:start w:val="1"/>
      <w:numFmt w:val="decimal"/>
      <w:lvlText w:val="%4."/>
      <w:lvlJc w:val="left"/>
      <w:pPr>
        <w:ind w:left="2829" w:hanging="360"/>
      </w:pPr>
    </w:lvl>
    <w:lvl w:ilvl="4" w:tplc="04100019" w:tentative="1">
      <w:start w:val="1"/>
      <w:numFmt w:val="lowerLetter"/>
      <w:lvlText w:val="%5."/>
      <w:lvlJc w:val="left"/>
      <w:pPr>
        <w:ind w:left="3549" w:hanging="360"/>
      </w:pPr>
    </w:lvl>
    <w:lvl w:ilvl="5" w:tplc="0410001B" w:tentative="1">
      <w:start w:val="1"/>
      <w:numFmt w:val="lowerRoman"/>
      <w:lvlText w:val="%6."/>
      <w:lvlJc w:val="right"/>
      <w:pPr>
        <w:ind w:left="4269" w:hanging="180"/>
      </w:pPr>
    </w:lvl>
    <w:lvl w:ilvl="6" w:tplc="0410000F" w:tentative="1">
      <w:start w:val="1"/>
      <w:numFmt w:val="decimal"/>
      <w:lvlText w:val="%7."/>
      <w:lvlJc w:val="left"/>
      <w:pPr>
        <w:ind w:left="4989" w:hanging="360"/>
      </w:pPr>
    </w:lvl>
    <w:lvl w:ilvl="7" w:tplc="04100019" w:tentative="1">
      <w:start w:val="1"/>
      <w:numFmt w:val="lowerLetter"/>
      <w:lvlText w:val="%8."/>
      <w:lvlJc w:val="left"/>
      <w:pPr>
        <w:ind w:left="5709" w:hanging="360"/>
      </w:pPr>
    </w:lvl>
    <w:lvl w:ilvl="8" w:tplc="0410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11"/>
  </w:num>
  <w:num w:numId="7">
    <w:abstractNumId w:val="13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  <w:num w:numId="13">
    <w:abstractNumId w:val="7"/>
  </w:num>
  <w:num w:numId="14">
    <w:abstractNumId w:val="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56"/>
    <w:rsid w:val="00022D8E"/>
    <w:rsid w:val="00057F9C"/>
    <w:rsid w:val="001027A8"/>
    <w:rsid w:val="00104D5B"/>
    <w:rsid w:val="00152785"/>
    <w:rsid w:val="001D1C73"/>
    <w:rsid w:val="00220840"/>
    <w:rsid w:val="002258CD"/>
    <w:rsid w:val="00237E2C"/>
    <w:rsid w:val="00256D9D"/>
    <w:rsid w:val="002F2BD8"/>
    <w:rsid w:val="0033007B"/>
    <w:rsid w:val="00356BB9"/>
    <w:rsid w:val="0038192A"/>
    <w:rsid w:val="0038530E"/>
    <w:rsid w:val="003968BC"/>
    <w:rsid w:val="003A1B0D"/>
    <w:rsid w:val="003B44BB"/>
    <w:rsid w:val="003D3491"/>
    <w:rsid w:val="003D48C4"/>
    <w:rsid w:val="004138AD"/>
    <w:rsid w:val="004F4BD8"/>
    <w:rsid w:val="00502E35"/>
    <w:rsid w:val="00517374"/>
    <w:rsid w:val="00555B07"/>
    <w:rsid w:val="005B4C32"/>
    <w:rsid w:val="005D71E5"/>
    <w:rsid w:val="00672B4F"/>
    <w:rsid w:val="006E5DDC"/>
    <w:rsid w:val="007107E1"/>
    <w:rsid w:val="00725C02"/>
    <w:rsid w:val="0074175C"/>
    <w:rsid w:val="00796F2D"/>
    <w:rsid w:val="007B5916"/>
    <w:rsid w:val="007C1C38"/>
    <w:rsid w:val="007C7BC8"/>
    <w:rsid w:val="007F30E5"/>
    <w:rsid w:val="00801D4A"/>
    <w:rsid w:val="008156F6"/>
    <w:rsid w:val="00843969"/>
    <w:rsid w:val="00846FAF"/>
    <w:rsid w:val="0089373C"/>
    <w:rsid w:val="008B0729"/>
    <w:rsid w:val="008E63A1"/>
    <w:rsid w:val="008F1219"/>
    <w:rsid w:val="00923938"/>
    <w:rsid w:val="00955589"/>
    <w:rsid w:val="009736B8"/>
    <w:rsid w:val="009A78CB"/>
    <w:rsid w:val="009B28BC"/>
    <w:rsid w:val="009F00FE"/>
    <w:rsid w:val="00A156F8"/>
    <w:rsid w:val="00A34581"/>
    <w:rsid w:val="00A42127"/>
    <w:rsid w:val="00A4473F"/>
    <w:rsid w:val="00A86BB7"/>
    <w:rsid w:val="00A874AC"/>
    <w:rsid w:val="00AA72F9"/>
    <w:rsid w:val="00AE2DCE"/>
    <w:rsid w:val="00AF14EA"/>
    <w:rsid w:val="00B726C7"/>
    <w:rsid w:val="00B75D56"/>
    <w:rsid w:val="00BB7F84"/>
    <w:rsid w:val="00BF1452"/>
    <w:rsid w:val="00C12167"/>
    <w:rsid w:val="00C23CD3"/>
    <w:rsid w:val="00C35504"/>
    <w:rsid w:val="00C7152F"/>
    <w:rsid w:val="00C9338A"/>
    <w:rsid w:val="00CC62A4"/>
    <w:rsid w:val="00CC6B3C"/>
    <w:rsid w:val="00CD3E98"/>
    <w:rsid w:val="00D071A1"/>
    <w:rsid w:val="00D54D8F"/>
    <w:rsid w:val="00DB1902"/>
    <w:rsid w:val="00DD4242"/>
    <w:rsid w:val="00DF73FA"/>
    <w:rsid w:val="00DF74BC"/>
    <w:rsid w:val="00E047A3"/>
    <w:rsid w:val="00E115C1"/>
    <w:rsid w:val="00E94379"/>
    <w:rsid w:val="00EA207C"/>
    <w:rsid w:val="00EA2D87"/>
    <w:rsid w:val="00EB4FF6"/>
    <w:rsid w:val="00EC3090"/>
    <w:rsid w:val="00F05C7A"/>
    <w:rsid w:val="00F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7BF69-0924-4867-895E-CA0C8BCC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362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03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3"/>
      <w:ind w:left="10" w:right="6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47A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8BC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B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no.castorina@ersucatania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ersucatania.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rotocollo@pec.ersucatan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Marrocchella</dc:creator>
  <cp:keywords/>
  <cp:lastModifiedBy>Utente</cp:lastModifiedBy>
  <cp:revision>12</cp:revision>
  <cp:lastPrinted>2017-08-03T05:38:00Z</cp:lastPrinted>
  <dcterms:created xsi:type="dcterms:W3CDTF">2017-11-10T10:34:00Z</dcterms:created>
  <dcterms:modified xsi:type="dcterms:W3CDTF">2017-12-12T07:03:00Z</dcterms:modified>
</cp:coreProperties>
</file>